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8E8" w:rsidRDefault="00C068E8" w:rsidP="00C068E8">
      <w:pPr>
        <w:widowControl/>
        <w:shd w:val="clear" w:color="060000" w:fill="FFFFFF"/>
        <w:wordWrap w:val="0"/>
        <w:spacing w:line="640" w:lineRule="exact"/>
        <w:ind w:firstLineChars="100" w:firstLine="440"/>
        <w:rPr>
          <w:rFonts w:ascii="宋体" w:hAnsi="宋体" w:cs="宋体"/>
          <w:color w:val="333333"/>
          <w:kern w:val="0"/>
          <w:sz w:val="44"/>
          <w:szCs w:val="44"/>
          <w:shd w:val="clear" w:color="080000" w:fill="FFFFFF"/>
        </w:rPr>
      </w:pPr>
      <w:bookmarkStart w:id="0" w:name="zhengwen"/>
    </w:p>
    <w:p w:rsidR="00C068E8" w:rsidRDefault="00C068E8" w:rsidP="00C068E8">
      <w:pPr>
        <w:pStyle w:val="1"/>
        <w:shd w:val="clear" w:color="auto" w:fill="FFFFFF"/>
        <w:spacing w:beforeAutospacing="0" w:afterAutospacing="0"/>
        <w:jc w:val="both"/>
        <w:rPr>
          <w:rFonts w:ascii="宋体" w:hAnsi="宋体" w:cs="宋体"/>
          <w:color w:val="333333"/>
          <w:sz w:val="44"/>
          <w:szCs w:val="44"/>
          <w:shd w:val="clear" w:color="080000" w:fill="FFFFFF"/>
        </w:rPr>
      </w:pPr>
      <w:r>
        <w:rPr>
          <w:rFonts w:ascii="Noto Sans Ugaritic" w:eastAsia="楷体_GB2312" w:hAnsi="Noto Sans Ugaritic" w:cs="Noto Sans Ugaritic" w:hint="eastAsia"/>
          <w:color w:val="333333"/>
          <w:sz w:val="32"/>
          <w:szCs w:val="32"/>
          <w:shd w:val="clear" w:color="080000" w:fill="FFFFFF"/>
        </w:rPr>
        <w:t xml:space="preserve">  </w:t>
      </w:r>
      <w:bookmarkStart w:id="1" w:name="_GoBack"/>
      <w:r>
        <w:rPr>
          <w:rFonts w:ascii="宋体" w:hAnsi="宋体" w:cs="宋体" w:hint="eastAsia"/>
          <w:color w:val="333333"/>
          <w:sz w:val="44"/>
          <w:szCs w:val="44"/>
          <w:shd w:val="clear" w:color="080000" w:fill="FFFFFF"/>
        </w:rPr>
        <w:t>天水市饮用水水源保护区环境保护管理办法</w:t>
      </w:r>
      <w:bookmarkEnd w:id="1"/>
    </w:p>
    <w:p w:rsidR="00C068E8" w:rsidRDefault="00C068E8" w:rsidP="00C068E8">
      <w:pPr>
        <w:rPr>
          <w:rFonts w:ascii="楷体_GB2312" w:eastAsia="楷体_GB2312" w:hAnsi="楷体_GB2312" w:cs="楷体_GB2312"/>
          <w:color w:val="333333"/>
          <w:sz w:val="32"/>
          <w:szCs w:val="32"/>
          <w:shd w:val="clear" w:color="070000" w:fill="FFFFFF"/>
        </w:rPr>
      </w:pPr>
      <w:r>
        <w:rPr>
          <w:rFonts w:ascii="楷体_GB2312" w:eastAsia="楷体_GB2312" w:hAnsi="楷体_GB2312" w:cs="楷体_GB2312" w:hint="eastAsia"/>
          <w:color w:val="333333"/>
          <w:sz w:val="32"/>
          <w:szCs w:val="32"/>
          <w:shd w:val="clear" w:color="070000" w:fill="FFFFFF"/>
        </w:rPr>
        <w:t>(2020年2月11日市政府令第3号公布  自2020年5月1日起施行)</w:t>
      </w:r>
    </w:p>
    <w:bookmarkEnd w:id="0"/>
    <w:p w:rsidR="00C068E8" w:rsidRDefault="00C068E8" w:rsidP="00C068E8">
      <w:pPr>
        <w:widowControl/>
        <w:wordWrap w:val="0"/>
        <w:spacing w:line="640" w:lineRule="exact"/>
        <w:rPr>
          <w:rFonts w:ascii="仿宋_GB2312" w:eastAsia="仿宋_GB2312" w:hAnsi="仿宋_GB2312" w:cs="仿宋_GB2312"/>
          <w:sz w:val="32"/>
          <w:szCs w:val="32"/>
        </w:rPr>
      </w:pPr>
    </w:p>
    <w:p w:rsidR="00C068E8" w:rsidRDefault="00C068E8" w:rsidP="00C068E8">
      <w:pPr>
        <w:adjustRightInd w:val="0"/>
        <w:snapToGrid w:val="0"/>
        <w:spacing w:beforeLines="50" w:before="156" w:afterLines="50" w:after="156" w:line="576" w:lineRule="exact"/>
        <w:jc w:val="center"/>
        <w:rPr>
          <w:rFonts w:eastAsia="黑体"/>
          <w:sz w:val="32"/>
          <w:szCs w:val="32"/>
        </w:rPr>
      </w:pPr>
      <w:r>
        <w:rPr>
          <w:rFonts w:eastAsia="黑体"/>
          <w:sz w:val="32"/>
          <w:szCs w:val="32"/>
        </w:rPr>
        <w:t>第一章</w:t>
      </w:r>
      <w:r>
        <w:rPr>
          <w:rFonts w:eastAsia="黑体"/>
          <w:sz w:val="32"/>
          <w:szCs w:val="32"/>
        </w:rPr>
        <w:t xml:space="preserve">  </w:t>
      </w:r>
      <w:r>
        <w:rPr>
          <w:rFonts w:eastAsia="黑体"/>
          <w:sz w:val="32"/>
          <w:szCs w:val="32"/>
        </w:rPr>
        <w:t>总则</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黑体"/>
          <w:sz w:val="32"/>
          <w:szCs w:val="32"/>
        </w:rPr>
        <w:t>第一条</w:t>
      </w:r>
      <w:r>
        <w:rPr>
          <w:rFonts w:eastAsia="仿宋_GB2312"/>
          <w:sz w:val="32"/>
          <w:szCs w:val="32"/>
        </w:rPr>
        <w:t xml:space="preserve">  </w:t>
      </w:r>
      <w:r>
        <w:rPr>
          <w:rFonts w:eastAsia="仿宋_GB2312"/>
          <w:sz w:val="32"/>
          <w:szCs w:val="32"/>
        </w:rPr>
        <w:t>为</w:t>
      </w:r>
      <w:r>
        <w:rPr>
          <w:rFonts w:eastAsia="仿宋_GB2312" w:hint="eastAsia"/>
          <w:sz w:val="32"/>
          <w:szCs w:val="32"/>
        </w:rPr>
        <w:t>了</w:t>
      </w:r>
      <w:r>
        <w:rPr>
          <w:rFonts w:eastAsia="仿宋_GB2312"/>
          <w:sz w:val="32"/>
          <w:szCs w:val="32"/>
        </w:rPr>
        <w:t>加强饮用水水源保护，保障饮用水安全，维护公众健康，推进生态文明建设，促进经济社会与环境协调发展，根据《中华人民共和国环境保护法》《中华人民共和国水法》《中华人民共和国水污染防治法》《饮用水水源保护区污染防治管理规定》和国家有关规定，结合本市实际，制定本办法。</w:t>
      </w:r>
    </w:p>
    <w:p w:rsidR="00C068E8" w:rsidRDefault="00C068E8" w:rsidP="00C068E8">
      <w:pPr>
        <w:adjustRightInd w:val="0"/>
        <w:snapToGrid w:val="0"/>
        <w:spacing w:line="576" w:lineRule="exact"/>
        <w:ind w:firstLine="640"/>
        <w:rPr>
          <w:rFonts w:eastAsia="仿宋_GB2312"/>
          <w:sz w:val="32"/>
          <w:szCs w:val="32"/>
        </w:rPr>
      </w:pPr>
      <w:r>
        <w:rPr>
          <w:rFonts w:eastAsia="黑体"/>
          <w:sz w:val="32"/>
          <w:szCs w:val="32"/>
        </w:rPr>
        <w:t>第二条</w:t>
      </w:r>
      <w:r>
        <w:rPr>
          <w:rFonts w:eastAsia="仿宋_GB2312"/>
          <w:sz w:val="32"/>
          <w:szCs w:val="32"/>
        </w:rPr>
        <w:t xml:space="preserve">  </w:t>
      </w:r>
      <w:r>
        <w:rPr>
          <w:rFonts w:eastAsia="仿宋_GB2312"/>
          <w:sz w:val="32"/>
          <w:szCs w:val="32"/>
        </w:rPr>
        <w:t>本市行政区域内集中式供水的饮用水水源保护区环境保护管理，适用本办法。</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第三条</w:t>
      </w:r>
      <w:r>
        <w:rPr>
          <w:rFonts w:eastAsia="仿宋_GB2312"/>
          <w:sz w:val="32"/>
          <w:szCs w:val="32"/>
        </w:rPr>
        <w:t xml:space="preserve">  </w:t>
      </w:r>
      <w:r>
        <w:rPr>
          <w:rFonts w:eastAsia="仿宋_GB2312"/>
          <w:sz w:val="32"/>
          <w:szCs w:val="32"/>
        </w:rPr>
        <w:t>本市实行饮用水水源保护区制度。饮用水水源保护区，分为一级保护区、二级保护区、准保护区。</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第四条</w:t>
      </w:r>
      <w:r>
        <w:rPr>
          <w:rFonts w:eastAsia="仿宋_GB2312"/>
          <w:sz w:val="32"/>
          <w:szCs w:val="32"/>
        </w:rPr>
        <w:t xml:space="preserve">  </w:t>
      </w:r>
      <w:r>
        <w:rPr>
          <w:rFonts w:eastAsia="仿宋_GB2312"/>
          <w:sz w:val="32"/>
          <w:szCs w:val="32"/>
        </w:rPr>
        <w:t>饮用水水源保护区环境保护管理，坚持政府主导、公众参与、预防为主、防治结合、属地监管、综合治理原则。</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第五条</w:t>
      </w:r>
      <w:r>
        <w:rPr>
          <w:rFonts w:eastAsia="黑体"/>
          <w:sz w:val="32"/>
          <w:szCs w:val="32"/>
        </w:rPr>
        <w:t xml:space="preserve">  </w:t>
      </w:r>
      <w:r>
        <w:rPr>
          <w:rFonts w:eastAsia="仿宋_GB2312"/>
          <w:sz w:val="32"/>
          <w:szCs w:val="32"/>
        </w:rPr>
        <w:t>市、县区人民政府领导本行政区域内饮用水水源保护区环境保护管理工作，对饮用水水源保护区环境质量负责。</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hint="eastAsia"/>
          <w:sz w:val="32"/>
          <w:szCs w:val="32"/>
        </w:rPr>
        <w:t>市、县区生态环境</w:t>
      </w:r>
      <w:r>
        <w:rPr>
          <w:rFonts w:eastAsia="仿宋_GB2312"/>
          <w:sz w:val="32"/>
          <w:szCs w:val="32"/>
        </w:rPr>
        <w:t>部门对本行政区域内饮用水水源保护区环</w:t>
      </w:r>
      <w:r>
        <w:rPr>
          <w:rFonts w:eastAsia="仿宋_GB2312"/>
          <w:sz w:val="32"/>
          <w:szCs w:val="32"/>
        </w:rPr>
        <w:lastRenderedPageBreak/>
        <w:t>境保护工作实施统一监督管理。</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市、县区水务、</w:t>
      </w:r>
      <w:r>
        <w:rPr>
          <w:rFonts w:eastAsia="仿宋_GB2312" w:hint="eastAsia"/>
          <w:sz w:val="32"/>
          <w:szCs w:val="32"/>
        </w:rPr>
        <w:t>住建</w:t>
      </w:r>
      <w:r>
        <w:rPr>
          <w:rFonts w:eastAsia="仿宋_GB2312"/>
          <w:sz w:val="32"/>
          <w:szCs w:val="32"/>
        </w:rPr>
        <w:t>、</w:t>
      </w:r>
      <w:r>
        <w:rPr>
          <w:rFonts w:eastAsia="仿宋_GB2312" w:hint="eastAsia"/>
          <w:sz w:val="32"/>
          <w:szCs w:val="32"/>
        </w:rPr>
        <w:t>卫生健康</w:t>
      </w:r>
      <w:r>
        <w:rPr>
          <w:rFonts w:eastAsia="仿宋_GB2312"/>
          <w:sz w:val="32"/>
          <w:szCs w:val="32"/>
        </w:rPr>
        <w:t>、畜牧</w:t>
      </w:r>
      <w:r>
        <w:rPr>
          <w:rFonts w:eastAsia="仿宋_GB2312" w:hint="eastAsia"/>
          <w:sz w:val="32"/>
          <w:szCs w:val="32"/>
        </w:rPr>
        <w:t>兽医</w:t>
      </w:r>
      <w:r>
        <w:rPr>
          <w:rFonts w:eastAsia="仿宋_GB2312"/>
          <w:sz w:val="32"/>
          <w:szCs w:val="32"/>
        </w:rPr>
        <w:t>、农业</w:t>
      </w:r>
      <w:r>
        <w:rPr>
          <w:rFonts w:eastAsia="仿宋_GB2312" w:hint="eastAsia"/>
          <w:sz w:val="32"/>
          <w:szCs w:val="32"/>
        </w:rPr>
        <w:t>农村</w:t>
      </w:r>
      <w:r>
        <w:rPr>
          <w:rFonts w:eastAsia="仿宋_GB2312"/>
          <w:sz w:val="32"/>
          <w:szCs w:val="32"/>
        </w:rPr>
        <w:t>、林</w:t>
      </w:r>
      <w:r>
        <w:rPr>
          <w:rFonts w:eastAsia="仿宋_GB2312" w:hint="eastAsia"/>
          <w:sz w:val="32"/>
          <w:szCs w:val="32"/>
        </w:rPr>
        <w:t>草</w:t>
      </w:r>
      <w:r>
        <w:rPr>
          <w:rFonts w:eastAsia="仿宋_GB2312"/>
          <w:sz w:val="32"/>
          <w:szCs w:val="32"/>
        </w:rPr>
        <w:t>、</w:t>
      </w:r>
      <w:r>
        <w:rPr>
          <w:rFonts w:eastAsia="仿宋_GB2312" w:hint="eastAsia"/>
          <w:sz w:val="32"/>
          <w:szCs w:val="32"/>
        </w:rPr>
        <w:t>自然</w:t>
      </w:r>
      <w:r>
        <w:rPr>
          <w:rFonts w:eastAsia="仿宋_GB2312"/>
          <w:sz w:val="32"/>
          <w:szCs w:val="32"/>
        </w:rPr>
        <w:t>资源、交通运输等部门，在各自职责范围内，依照有关法律、法规、规章规定对本行政区域内饮用水水源保护区资源保护和污染防治等环境保护工作实施监督管理。</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乡镇人民政府依法履行乡镇饮用水水源保护区环境保护管理职责，配合有关部门做好辖区内饮用水水源保护区环境保护管理工作。</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第六条</w:t>
      </w:r>
      <w:r>
        <w:rPr>
          <w:rFonts w:eastAsia="黑体"/>
          <w:sz w:val="32"/>
          <w:szCs w:val="32"/>
        </w:rPr>
        <w:t xml:space="preserve">  </w:t>
      </w:r>
      <w:r>
        <w:rPr>
          <w:rFonts w:eastAsia="仿宋_GB2312"/>
          <w:sz w:val="32"/>
          <w:szCs w:val="32"/>
        </w:rPr>
        <w:t>市、县区人民政府建立饮用水水源保护区环境保护协调联动工作机制，实行信息资源共享和重大事项会商制度。</w:t>
      </w:r>
      <w:r>
        <w:rPr>
          <w:rFonts w:eastAsia="仿宋_GB2312"/>
          <w:sz w:val="32"/>
          <w:szCs w:val="32"/>
        </w:rPr>
        <w:t xml:space="preserve"> </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第七条</w:t>
      </w:r>
      <w:r>
        <w:rPr>
          <w:rFonts w:eastAsia="仿宋_GB2312"/>
          <w:sz w:val="32"/>
          <w:szCs w:val="32"/>
        </w:rPr>
        <w:t xml:space="preserve">  </w:t>
      </w:r>
      <w:r>
        <w:rPr>
          <w:rFonts w:eastAsia="仿宋_GB2312"/>
          <w:sz w:val="32"/>
          <w:szCs w:val="32"/>
        </w:rPr>
        <w:t>饮用水水源保护区环境保护管理工作，应当纳入市、县区国民经济和社会发展规划，所需经费列入同级财政预算。</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第八条</w:t>
      </w:r>
      <w:r>
        <w:rPr>
          <w:rFonts w:eastAsia="仿宋_GB2312"/>
          <w:sz w:val="32"/>
          <w:szCs w:val="32"/>
        </w:rPr>
        <w:t xml:space="preserve">  </w:t>
      </w:r>
      <w:r>
        <w:rPr>
          <w:rFonts w:eastAsia="仿宋_GB2312"/>
          <w:sz w:val="32"/>
          <w:szCs w:val="32"/>
        </w:rPr>
        <w:t>市、</w:t>
      </w:r>
      <w:r>
        <w:rPr>
          <w:rFonts w:eastAsia="仿宋_GB2312"/>
          <w:spacing w:val="4"/>
          <w:sz w:val="32"/>
          <w:szCs w:val="32"/>
        </w:rPr>
        <w:t>县区人民政府应当综合平衡饮用水水源使用、保护等各方利益，建立饮用水水源保护区水环境生态保护补偿机制。</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第九条</w:t>
      </w:r>
      <w:r>
        <w:rPr>
          <w:rFonts w:eastAsia="仿宋_GB2312"/>
          <w:sz w:val="32"/>
          <w:szCs w:val="32"/>
        </w:rPr>
        <w:t xml:space="preserve">  </w:t>
      </w:r>
      <w:r>
        <w:rPr>
          <w:rFonts w:eastAsia="仿宋_GB2312"/>
          <w:sz w:val="32"/>
          <w:szCs w:val="32"/>
        </w:rPr>
        <w:t>市、县区饮用水水源保护区环境保护管理相关部门、乡镇人民政府，应当加强饮用水水源保护区环境保护法律、法规、规章宣传，提高公众环境保护意识，鼓励、引导公众积极参与饮用水水源保护区环境保护。</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第十条</w:t>
      </w:r>
      <w:r>
        <w:rPr>
          <w:rFonts w:eastAsia="黑体"/>
          <w:sz w:val="32"/>
          <w:szCs w:val="32"/>
        </w:rPr>
        <w:t xml:space="preserve"> </w:t>
      </w:r>
      <w:r>
        <w:rPr>
          <w:rFonts w:eastAsia="仿宋_GB2312"/>
          <w:sz w:val="32"/>
          <w:szCs w:val="32"/>
        </w:rPr>
        <w:t xml:space="preserve"> </w:t>
      </w:r>
      <w:r>
        <w:rPr>
          <w:rFonts w:eastAsia="仿宋_GB2312"/>
          <w:sz w:val="32"/>
          <w:szCs w:val="32"/>
        </w:rPr>
        <w:t>任何组织和个人有义务保护饮用水水源保护区环境，有权利对污染和破坏饮用水水源保护区环境的行为进行监督</w:t>
      </w:r>
      <w:r>
        <w:rPr>
          <w:rFonts w:eastAsia="仿宋_GB2312"/>
          <w:sz w:val="32"/>
          <w:szCs w:val="32"/>
        </w:rPr>
        <w:lastRenderedPageBreak/>
        <w:t>和举报。</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市、县区人民政府对在饮用水水源保护区环境保护工作中做出显著成绩的组织和个人，应当给予表彰。</w:t>
      </w:r>
    </w:p>
    <w:p w:rsidR="00C068E8" w:rsidRDefault="00C068E8" w:rsidP="00C068E8">
      <w:pPr>
        <w:adjustRightInd w:val="0"/>
        <w:snapToGrid w:val="0"/>
        <w:spacing w:beforeLines="100" w:before="312" w:afterLines="100" w:after="312" w:line="576" w:lineRule="exact"/>
        <w:jc w:val="center"/>
        <w:rPr>
          <w:rFonts w:eastAsia="黑体"/>
          <w:sz w:val="32"/>
          <w:szCs w:val="32"/>
        </w:rPr>
      </w:pPr>
      <w:r>
        <w:rPr>
          <w:rFonts w:eastAsia="黑体"/>
          <w:sz w:val="32"/>
          <w:szCs w:val="32"/>
        </w:rPr>
        <w:t>第二章</w:t>
      </w:r>
      <w:r>
        <w:rPr>
          <w:rFonts w:eastAsia="黑体"/>
          <w:sz w:val="32"/>
          <w:szCs w:val="32"/>
        </w:rPr>
        <w:t xml:space="preserve">  </w:t>
      </w:r>
      <w:r>
        <w:rPr>
          <w:rFonts w:eastAsia="黑体"/>
          <w:sz w:val="32"/>
          <w:szCs w:val="32"/>
        </w:rPr>
        <w:t>饮用水水源保护区的划定与调整</w:t>
      </w:r>
    </w:p>
    <w:p w:rsidR="00C068E8" w:rsidRDefault="00C068E8" w:rsidP="00C068E8">
      <w:pPr>
        <w:adjustRightInd w:val="0"/>
        <w:snapToGrid w:val="0"/>
        <w:spacing w:line="576" w:lineRule="exact"/>
        <w:ind w:firstLine="640"/>
        <w:rPr>
          <w:rFonts w:eastAsia="仿宋_GB2312" w:hAnsi="仿宋_GB2312"/>
          <w:sz w:val="32"/>
          <w:szCs w:val="32"/>
        </w:rPr>
      </w:pPr>
      <w:r>
        <w:rPr>
          <w:rFonts w:eastAsia="黑体"/>
          <w:sz w:val="32"/>
          <w:szCs w:val="32"/>
        </w:rPr>
        <w:t>第十一条</w:t>
      </w:r>
      <w:r>
        <w:rPr>
          <w:rFonts w:eastAsia="仿宋_GB2312"/>
          <w:sz w:val="32"/>
          <w:szCs w:val="32"/>
        </w:rPr>
        <w:t xml:space="preserve">  </w:t>
      </w:r>
      <w:r>
        <w:rPr>
          <w:rFonts w:eastAsia="仿宋_GB2312" w:hAnsi="仿宋_GB2312"/>
          <w:sz w:val="32"/>
          <w:szCs w:val="32"/>
        </w:rPr>
        <w:t>饮用水水源保护区的划定，由所在县区人民政府提出划定方案报市人民政府审查，</w:t>
      </w:r>
      <w:r>
        <w:rPr>
          <w:rFonts w:eastAsia="仿宋_GB2312" w:hAnsi="仿宋_GB2312" w:hint="eastAsia"/>
          <w:sz w:val="32"/>
          <w:szCs w:val="32"/>
        </w:rPr>
        <w:t>经市人民政府</w:t>
      </w:r>
      <w:r>
        <w:rPr>
          <w:rFonts w:eastAsia="仿宋_GB2312" w:hAnsi="仿宋_GB2312"/>
          <w:sz w:val="32"/>
          <w:szCs w:val="32"/>
        </w:rPr>
        <w:t>组织</w:t>
      </w:r>
      <w:r>
        <w:rPr>
          <w:rFonts w:eastAsia="仿宋_GB2312" w:hAnsi="仿宋_GB2312" w:hint="eastAsia"/>
          <w:sz w:val="32"/>
          <w:szCs w:val="32"/>
        </w:rPr>
        <w:t>生态环境、水务、住建、卫生健康、自然资源等部门及有关</w:t>
      </w:r>
      <w:r>
        <w:rPr>
          <w:rFonts w:eastAsia="仿宋_GB2312" w:hAnsi="仿宋_GB2312"/>
          <w:sz w:val="32"/>
          <w:szCs w:val="32"/>
        </w:rPr>
        <w:t>专家论证审查后，报省人民政府</w:t>
      </w:r>
      <w:r>
        <w:rPr>
          <w:rFonts w:eastAsia="仿宋_GB2312" w:hAnsi="仿宋_GB2312" w:hint="eastAsia"/>
          <w:sz w:val="32"/>
          <w:szCs w:val="32"/>
        </w:rPr>
        <w:t>批准</w:t>
      </w:r>
      <w:r>
        <w:rPr>
          <w:rFonts w:eastAsia="仿宋_GB2312" w:hAnsi="仿宋_GB2312"/>
          <w:sz w:val="32"/>
          <w:szCs w:val="32"/>
        </w:rPr>
        <w:t>。</w:t>
      </w:r>
    </w:p>
    <w:p w:rsidR="00C068E8" w:rsidRDefault="00C068E8" w:rsidP="00C068E8">
      <w:pPr>
        <w:spacing w:line="576" w:lineRule="exact"/>
        <w:ind w:firstLineChars="200" w:firstLine="640"/>
        <w:rPr>
          <w:rFonts w:eastAsia="仿宋_GB2312"/>
          <w:sz w:val="32"/>
          <w:szCs w:val="32"/>
        </w:rPr>
      </w:pPr>
      <w:r>
        <w:rPr>
          <w:rFonts w:eastAsia="仿宋_GB2312"/>
          <w:sz w:val="32"/>
          <w:szCs w:val="32"/>
        </w:rPr>
        <w:t>县区人民政府应当将本行政区域内饮用水水源保护区的范围和等级向社会公告。</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第十二条</w:t>
      </w:r>
      <w:r>
        <w:rPr>
          <w:rFonts w:eastAsia="仿宋_GB2312"/>
          <w:sz w:val="32"/>
          <w:szCs w:val="32"/>
        </w:rPr>
        <w:t xml:space="preserve">  </w:t>
      </w:r>
      <w:r>
        <w:rPr>
          <w:rFonts w:eastAsia="仿宋_GB2312"/>
          <w:sz w:val="32"/>
          <w:szCs w:val="32"/>
        </w:rPr>
        <w:t>饮用水水源保护区范围的确定，应当保证</w:t>
      </w:r>
      <w:r>
        <w:rPr>
          <w:rFonts w:eastAsia="仿宋_GB2312" w:hAnsi="仿宋_GB2312"/>
          <w:sz w:val="32"/>
          <w:szCs w:val="32"/>
        </w:rPr>
        <w:t>一级保护区、二级保护区、准保护区水质符合国家规定标准和要求。</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第十三条</w:t>
      </w:r>
      <w:r>
        <w:rPr>
          <w:rFonts w:eastAsia="仿宋_GB2312"/>
          <w:sz w:val="32"/>
          <w:szCs w:val="32"/>
        </w:rPr>
        <w:t xml:space="preserve">  </w:t>
      </w:r>
      <w:r>
        <w:rPr>
          <w:rFonts w:eastAsia="仿宋_GB2312"/>
          <w:sz w:val="32"/>
          <w:szCs w:val="32"/>
        </w:rPr>
        <w:t>县区人民政府应当在饮用水水源保护区边界设立明确地理界标和明显警示标志。</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饮用水水源一级保护区应当视情况设置隔离设施，实行封闭式管理。</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仿宋_GB2312"/>
          <w:sz w:val="32"/>
          <w:szCs w:val="32"/>
        </w:rPr>
        <w:t>禁止任何组织和个人擅自改变、破坏饮用水水源保护区地理界标、警示标志和隔离设施。</w:t>
      </w:r>
      <w:r>
        <w:rPr>
          <w:rFonts w:eastAsia="仿宋_GB2312"/>
          <w:sz w:val="32"/>
          <w:szCs w:val="32"/>
        </w:rPr>
        <w:t xml:space="preserve"> </w:t>
      </w:r>
    </w:p>
    <w:p w:rsidR="00C068E8" w:rsidRDefault="00C068E8" w:rsidP="00C068E8">
      <w:pPr>
        <w:adjustRightInd w:val="0"/>
        <w:snapToGrid w:val="0"/>
        <w:spacing w:line="576" w:lineRule="exact"/>
        <w:rPr>
          <w:rFonts w:eastAsia="仿宋_GB2312"/>
          <w:sz w:val="32"/>
          <w:szCs w:val="32"/>
        </w:rPr>
      </w:pPr>
      <w:r>
        <w:rPr>
          <w:rFonts w:eastAsia="黑体"/>
          <w:sz w:val="32"/>
          <w:szCs w:val="32"/>
        </w:rPr>
        <w:t xml:space="preserve">    </w:t>
      </w:r>
      <w:r>
        <w:rPr>
          <w:rFonts w:eastAsia="黑体"/>
          <w:sz w:val="32"/>
          <w:szCs w:val="32"/>
        </w:rPr>
        <w:t>第十四条</w:t>
      </w:r>
      <w:r>
        <w:rPr>
          <w:rFonts w:eastAsia="仿宋_GB2312"/>
          <w:sz w:val="32"/>
          <w:szCs w:val="32"/>
        </w:rPr>
        <w:t xml:space="preserve">  </w:t>
      </w:r>
      <w:r>
        <w:rPr>
          <w:rFonts w:eastAsia="仿宋_GB2312"/>
          <w:sz w:val="32"/>
          <w:szCs w:val="32"/>
        </w:rPr>
        <w:t>市、县区人民政府应当根据经济社会发展和保护饮用水水源实际需要，综合考虑现有饮用水水源保护区供水能力</w:t>
      </w:r>
      <w:r>
        <w:rPr>
          <w:rFonts w:eastAsia="仿宋_GB2312"/>
          <w:sz w:val="32"/>
          <w:szCs w:val="32"/>
        </w:rPr>
        <w:lastRenderedPageBreak/>
        <w:t>和条件，适时依法调整饮用水水源保护区范围。具体调整程序依照本办法第十一条规定办理。</w:t>
      </w:r>
    </w:p>
    <w:p w:rsidR="00C068E8" w:rsidRDefault="00C068E8" w:rsidP="00C068E8">
      <w:pPr>
        <w:adjustRightInd w:val="0"/>
        <w:snapToGrid w:val="0"/>
        <w:spacing w:beforeLines="100" w:before="312" w:afterLines="100" w:after="312" w:line="576" w:lineRule="exact"/>
        <w:jc w:val="center"/>
        <w:rPr>
          <w:rFonts w:eastAsia="黑体"/>
          <w:sz w:val="32"/>
          <w:szCs w:val="32"/>
        </w:rPr>
      </w:pPr>
      <w:r>
        <w:rPr>
          <w:rFonts w:eastAsia="黑体"/>
          <w:sz w:val="32"/>
          <w:szCs w:val="32"/>
        </w:rPr>
        <w:t>第三章</w:t>
      </w:r>
      <w:r>
        <w:rPr>
          <w:rFonts w:eastAsia="黑体"/>
          <w:sz w:val="32"/>
          <w:szCs w:val="32"/>
        </w:rPr>
        <w:t xml:space="preserve">  </w:t>
      </w:r>
      <w:r>
        <w:rPr>
          <w:rFonts w:eastAsia="黑体"/>
          <w:sz w:val="32"/>
          <w:szCs w:val="32"/>
        </w:rPr>
        <w:t>地表水饮用水水源保护区的保护</w:t>
      </w:r>
    </w:p>
    <w:p w:rsidR="00C068E8" w:rsidRDefault="00C068E8" w:rsidP="00C068E8">
      <w:pPr>
        <w:adjustRightInd w:val="0"/>
        <w:snapToGrid w:val="0"/>
        <w:spacing w:line="576" w:lineRule="exact"/>
        <w:ind w:firstLineChars="200" w:firstLine="640"/>
        <w:rPr>
          <w:rFonts w:eastAsia="仿宋_GB2312"/>
          <w:spacing w:val="4"/>
          <w:sz w:val="32"/>
          <w:szCs w:val="32"/>
        </w:rPr>
      </w:pPr>
      <w:r>
        <w:rPr>
          <w:rFonts w:eastAsia="黑体"/>
          <w:sz w:val="32"/>
          <w:szCs w:val="32"/>
        </w:rPr>
        <w:t>第十五条</w:t>
      </w:r>
      <w:r>
        <w:rPr>
          <w:rFonts w:eastAsia="仿宋_GB2312"/>
          <w:sz w:val="32"/>
          <w:szCs w:val="32"/>
        </w:rPr>
        <w:t xml:space="preserve">  </w:t>
      </w:r>
      <w:r>
        <w:rPr>
          <w:rFonts w:eastAsia="仿宋_GB2312"/>
          <w:spacing w:val="4"/>
          <w:sz w:val="32"/>
          <w:szCs w:val="32"/>
        </w:rPr>
        <w:t>地表水饮用水水源保护区内，禁止下列活动和行为：</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仿宋_GB2312"/>
          <w:sz w:val="32"/>
          <w:szCs w:val="32"/>
        </w:rPr>
        <w:t>（一）破坏水环境生态平衡的活动以及破坏水源涵养林、护岸林、与水源保护相关植被的活动；</w:t>
      </w:r>
    </w:p>
    <w:p w:rsidR="00C068E8" w:rsidRDefault="00C068E8" w:rsidP="00C068E8">
      <w:pPr>
        <w:adjustRightInd w:val="0"/>
        <w:snapToGrid w:val="0"/>
        <w:spacing w:line="576" w:lineRule="exact"/>
        <w:rPr>
          <w:rFonts w:eastAsia="仿宋_GB2312"/>
          <w:spacing w:val="4"/>
          <w:sz w:val="32"/>
          <w:szCs w:val="32"/>
        </w:rPr>
      </w:pPr>
      <w:r>
        <w:rPr>
          <w:rFonts w:eastAsia="仿宋_GB2312"/>
          <w:sz w:val="32"/>
          <w:szCs w:val="32"/>
        </w:rPr>
        <w:t xml:space="preserve">    </w:t>
      </w:r>
      <w:r>
        <w:rPr>
          <w:rFonts w:eastAsia="仿宋_GB2312"/>
          <w:sz w:val="32"/>
          <w:szCs w:val="32"/>
        </w:rPr>
        <w:t>（二）</w:t>
      </w:r>
      <w:r>
        <w:rPr>
          <w:rFonts w:eastAsia="仿宋_GB2312"/>
          <w:spacing w:val="4"/>
          <w:sz w:val="32"/>
          <w:szCs w:val="32"/>
        </w:rPr>
        <w:t>向水域排放、倾倒工业废渣、垃圾、粪便及其他废弃物；</w:t>
      </w:r>
    </w:p>
    <w:p w:rsidR="00C068E8" w:rsidRDefault="00C068E8" w:rsidP="00C068E8">
      <w:pPr>
        <w:adjustRightInd w:val="0"/>
        <w:snapToGrid w:val="0"/>
        <w:spacing w:line="576" w:lineRule="exact"/>
        <w:ind w:firstLine="640"/>
        <w:rPr>
          <w:rFonts w:eastAsia="仿宋_GB2312"/>
          <w:sz w:val="32"/>
          <w:szCs w:val="32"/>
        </w:rPr>
      </w:pPr>
      <w:r>
        <w:rPr>
          <w:rFonts w:eastAsia="仿宋_GB2312"/>
          <w:sz w:val="32"/>
          <w:szCs w:val="32"/>
        </w:rPr>
        <w:t>（三）将含有汞、镉、砷、铬、铅、氰化物、黄磷等的可溶性剧毒废渣向水体排放、倾倒或者直接埋入地下；</w:t>
      </w:r>
    </w:p>
    <w:p w:rsidR="00C068E8" w:rsidRDefault="00C068E8" w:rsidP="00C068E8">
      <w:pPr>
        <w:adjustRightInd w:val="0"/>
        <w:snapToGrid w:val="0"/>
        <w:spacing w:line="576" w:lineRule="exact"/>
        <w:ind w:firstLine="640"/>
        <w:rPr>
          <w:rFonts w:eastAsia="仿宋_GB2312"/>
          <w:sz w:val="32"/>
          <w:szCs w:val="32"/>
        </w:rPr>
      </w:pPr>
      <w:r>
        <w:rPr>
          <w:rFonts w:eastAsia="仿宋_GB2312"/>
          <w:sz w:val="32"/>
          <w:szCs w:val="32"/>
        </w:rPr>
        <w:t>（四）运输有毒有害物质、油类、粪便的车辆，未经批准、登记、未设置防渗、防溢、防漏设施进入保护区；</w:t>
      </w:r>
      <w:r>
        <w:rPr>
          <w:rFonts w:eastAsia="仿宋_GB2312"/>
          <w:sz w:val="32"/>
          <w:szCs w:val="32"/>
        </w:rPr>
        <w:t xml:space="preserve">    </w:t>
      </w:r>
    </w:p>
    <w:p w:rsidR="00C068E8" w:rsidRDefault="00C068E8" w:rsidP="00C068E8">
      <w:pPr>
        <w:adjustRightInd w:val="0"/>
        <w:snapToGrid w:val="0"/>
        <w:spacing w:line="576" w:lineRule="exact"/>
        <w:ind w:firstLine="640"/>
        <w:rPr>
          <w:rFonts w:eastAsia="仿宋_GB2312"/>
          <w:sz w:val="32"/>
          <w:szCs w:val="32"/>
        </w:rPr>
      </w:pPr>
      <w:r>
        <w:rPr>
          <w:rFonts w:eastAsia="仿宋_GB2312"/>
          <w:sz w:val="32"/>
          <w:szCs w:val="32"/>
        </w:rPr>
        <w:t>（五）使用剧毒和高残留农药，滥用化肥；</w:t>
      </w:r>
    </w:p>
    <w:p w:rsidR="00C068E8" w:rsidRDefault="00C068E8" w:rsidP="00C068E8">
      <w:pPr>
        <w:adjustRightInd w:val="0"/>
        <w:snapToGrid w:val="0"/>
        <w:spacing w:line="576" w:lineRule="exact"/>
        <w:ind w:firstLine="640"/>
        <w:rPr>
          <w:rFonts w:eastAsia="仿宋_GB2312"/>
          <w:sz w:val="32"/>
          <w:szCs w:val="32"/>
        </w:rPr>
      </w:pPr>
      <w:r>
        <w:rPr>
          <w:rFonts w:eastAsia="仿宋_GB2312"/>
          <w:sz w:val="32"/>
          <w:szCs w:val="32"/>
        </w:rPr>
        <w:t>（六）使用炸药、毒品捕杀鱼类。</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第十六条</w:t>
      </w:r>
      <w:r>
        <w:rPr>
          <w:rFonts w:eastAsia="仿宋_GB2312"/>
          <w:sz w:val="32"/>
          <w:szCs w:val="32"/>
        </w:rPr>
        <w:t xml:space="preserve">  </w:t>
      </w:r>
      <w:r>
        <w:rPr>
          <w:rFonts w:eastAsia="仿宋_GB2312"/>
          <w:sz w:val="32"/>
          <w:szCs w:val="32"/>
        </w:rPr>
        <w:t>地表水饮用水水源一级保护区内，除遵守本办法第十五条规定外，还应当遵守下列规定：</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（一）禁止新建、改建、扩建与供水设施和保护水源无关的建设项目；</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（二）</w:t>
      </w:r>
      <w:r>
        <w:rPr>
          <w:rFonts w:eastAsia="仿宋_GB2312" w:hint="eastAsia"/>
          <w:sz w:val="32"/>
          <w:szCs w:val="32"/>
        </w:rPr>
        <w:t>禁止设置排污口；</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lastRenderedPageBreak/>
        <w:t>（三）禁止堆置和存放工业废渣、垃圾、粪便和其他废弃物；</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（四）禁止设置油库；</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（五）禁止从事种植、放养畜禽活动；</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hint="eastAsia"/>
          <w:sz w:val="32"/>
          <w:szCs w:val="32"/>
        </w:rPr>
        <w:t>（六）</w:t>
      </w:r>
      <w:r>
        <w:rPr>
          <w:rFonts w:eastAsia="仿宋_GB2312"/>
          <w:sz w:val="32"/>
          <w:szCs w:val="32"/>
        </w:rPr>
        <w:t>禁止从事网箱养殖、旅游、游泳、垂钓或者其他可能污染饮用水水体的活动</w:t>
      </w:r>
      <w:r>
        <w:rPr>
          <w:rFonts w:eastAsia="仿宋_GB2312" w:hint="eastAsia"/>
          <w:sz w:val="32"/>
          <w:szCs w:val="32"/>
        </w:rPr>
        <w:t>。</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第十七条</w:t>
      </w:r>
      <w:r>
        <w:rPr>
          <w:rFonts w:eastAsia="仿宋_GB2312"/>
          <w:sz w:val="32"/>
          <w:szCs w:val="32"/>
        </w:rPr>
        <w:t xml:space="preserve">  </w:t>
      </w:r>
      <w:r>
        <w:rPr>
          <w:rFonts w:eastAsia="仿宋_GB2312"/>
          <w:sz w:val="32"/>
          <w:szCs w:val="32"/>
        </w:rPr>
        <w:t>地表水饮用水水源二级保护区内，除遵守本办法第十五条规定外，还应当遵守下列规定：</w:t>
      </w:r>
    </w:p>
    <w:p w:rsidR="00C068E8" w:rsidRDefault="00C068E8" w:rsidP="00C068E8">
      <w:pPr>
        <w:adjustRightInd w:val="0"/>
        <w:snapToGrid w:val="0"/>
        <w:spacing w:line="576" w:lineRule="exact"/>
        <w:ind w:firstLineChars="200" w:firstLine="640"/>
        <w:jc w:val="left"/>
        <w:rPr>
          <w:rFonts w:eastAsia="仿宋_GB2312"/>
          <w:sz w:val="32"/>
          <w:szCs w:val="32"/>
        </w:rPr>
      </w:pPr>
      <w:r>
        <w:rPr>
          <w:rFonts w:eastAsia="仿宋_GB2312"/>
          <w:sz w:val="32"/>
          <w:szCs w:val="32"/>
        </w:rPr>
        <w:t>（一）禁止新建、改建、扩建排放污染物的建设项目；</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（二）</w:t>
      </w:r>
      <w:r>
        <w:rPr>
          <w:rFonts w:eastAsia="仿宋_GB2312" w:hint="eastAsia"/>
          <w:sz w:val="32"/>
          <w:szCs w:val="32"/>
        </w:rPr>
        <w:t>禁止</w:t>
      </w:r>
      <w:r>
        <w:rPr>
          <w:rFonts w:eastAsia="仿宋_GB2312"/>
          <w:sz w:val="32"/>
          <w:szCs w:val="32"/>
        </w:rPr>
        <w:t>设置排污口</w:t>
      </w:r>
      <w:r>
        <w:rPr>
          <w:rFonts w:eastAsia="仿宋_GB2312" w:hint="eastAsia"/>
          <w:sz w:val="32"/>
          <w:szCs w:val="32"/>
        </w:rPr>
        <w:t>；</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hint="eastAsia"/>
          <w:sz w:val="32"/>
          <w:szCs w:val="32"/>
        </w:rPr>
        <w:t>（三）</w:t>
      </w:r>
      <w:r>
        <w:rPr>
          <w:rFonts w:eastAsia="仿宋_GB2312"/>
          <w:sz w:val="32"/>
          <w:szCs w:val="32"/>
        </w:rPr>
        <w:t>从事网箱养殖、旅游等活动的，应当按照规定采取措施，防止污染饮用水水体。</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第十八条</w:t>
      </w:r>
      <w:r>
        <w:rPr>
          <w:rFonts w:eastAsia="仿宋_GB2312"/>
          <w:sz w:val="32"/>
          <w:szCs w:val="32"/>
        </w:rPr>
        <w:t xml:space="preserve">  </w:t>
      </w:r>
      <w:r>
        <w:rPr>
          <w:rFonts w:eastAsia="仿宋_GB2312"/>
          <w:sz w:val="32"/>
          <w:szCs w:val="32"/>
        </w:rPr>
        <w:t>地表水饮用水水源准保护区内，除遵守本办法第十五条规定外，还应当遵守下列规定：</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（一）禁止新建、扩建对水体污染严重的建设项目；</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（二）改建建设项目，不得增加排污量。</w:t>
      </w:r>
    </w:p>
    <w:p w:rsidR="00C068E8" w:rsidRDefault="00C068E8" w:rsidP="00C068E8">
      <w:pPr>
        <w:adjustRightInd w:val="0"/>
        <w:snapToGrid w:val="0"/>
        <w:spacing w:beforeLines="100" w:before="312" w:afterLines="100" w:after="312" w:line="576" w:lineRule="exact"/>
        <w:jc w:val="center"/>
        <w:rPr>
          <w:rFonts w:eastAsia="黑体"/>
          <w:sz w:val="32"/>
          <w:szCs w:val="32"/>
        </w:rPr>
      </w:pPr>
      <w:r>
        <w:rPr>
          <w:rFonts w:eastAsia="黑体"/>
          <w:sz w:val="32"/>
          <w:szCs w:val="32"/>
        </w:rPr>
        <w:t>第四章</w:t>
      </w:r>
      <w:r>
        <w:rPr>
          <w:rFonts w:eastAsia="黑体"/>
          <w:sz w:val="32"/>
          <w:szCs w:val="32"/>
        </w:rPr>
        <w:t xml:space="preserve">  </w:t>
      </w:r>
      <w:r>
        <w:rPr>
          <w:rFonts w:eastAsia="黑体"/>
          <w:sz w:val="32"/>
          <w:szCs w:val="32"/>
        </w:rPr>
        <w:t>地下水饮用水水源保护区的保护</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黑体"/>
          <w:sz w:val="32"/>
          <w:szCs w:val="32"/>
        </w:rPr>
        <w:t>第十九条</w:t>
      </w:r>
      <w:r>
        <w:rPr>
          <w:rFonts w:eastAsia="仿宋_GB2312"/>
          <w:sz w:val="32"/>
          <w:szCs w:val="32"/>
        </w:rPr>
        <w:t xml:space="preserve">  </w:t>
      </w:r>
      <w:r>
        <w:rPr>
          <w:rFonts w:eastAsia="仿宋_GB2312"/>
          <w:sz w:val="32"/>
          <w:szCs w:val="32"/>
        </w:rPr>
        <w:t>地下水饮用水水源保护区内，禁止下列活动和行为：</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（一）利用渗坑、渗井、裂隙、溶洞，私设暗管等方式排放水污染物；</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lastRenderedPageBreak/>
        <w:t>（二）利用透水层孔隙、裂隙、溶洞及废弃矿坑储存石油、天然气、放射性物质、有毒有害化工原料、农药等；</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（三）将含有汞、镉、砷、铬、铅、氰化物、黄磷等的可溶性剧毒废渣向水体排放、倾倒或者直接埋入地下；</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（四）污染地下水源的人工回灌作业。</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第二十条</w:t>
      </w:r>
      <w:r>
        <w:rPr>
          <w:rFonts w:eastAsia="黑体" w:hint="eastAsia"/>
          <w:sz w:val="32"/>
          <w:szCs w:val="32"/>
        </w:rPr>
        <w:t xml:space="preserve">  </w:t>
      </w:r>
      <w:r>
        <w:rPr>
          <w:rFonts w:eastAsia="仿宋_GB2312"/>
          <w:sz w:val="32"/>
          <w:szCs w:val="32"/>
        </w:rPr>
        <w:t>地下水饮用水水源一级保护区内，除遵守本办法第十九条规定外，还应当遵守下列规定：</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（一）禁止新建、改建、扩建与供水设施和保护水源无关的建设项目；</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（二）</w:t>
      </w:r>
      <w:r>
        <w:rPr>
          <w:rFonts w:eastAsia="仿宋_GB2312" w:hint="eastAsia"/>
          <w:sz w:val="32"/>
          <w:szCs w:val="32"/>
        </w:rPr>
        <w:t>禁止设置排污口</w:t>
      </w:r>
      <w:r>
        <w:rPr>
          <w:rFonts w:eastAsia="仿宋_GB2312"/>
          <w:sz w:val="32"/>
          <w:szCs w:val="32"/>
        </w:rPr>
        <w:t>；</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（三）禁止从事农牧业活动；</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（四）禁止倾倒、堆放工业废渣及垃圾、粪便和其他有害废弃物；</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（五）禁止输送污水的渠道、管道及输油管道通过</w:t>
      </w:r>
      <w:r>
        <w:rPr>
          <w:rFonts w:eastAsia="仿宋_GB2312" w:hint="eastAsia"/>
          <w:sz w:val="32"/>
          <w:szCs w:val="32"/>
        </w:rPr>
        <w:t>；</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（六）禁止设置油库；</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（七）禁止建立墓地；</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hint="eastAsia"/>
          <w:sz w:val="32"/>
          <w:szCs w:val="32"/>
        </w:rPr>
        <w:t>（八）</w:t>
      </w:r>
      <w:r>
        <w:rPr>
          <w:rFonts w:eastAsia="仿宋_GB2312"/>
          <w:sz w:val="32"/>
          <w:szCs w:val="32"/>
        </w:rPr>
        <w:t>禁止从事网箱养殖、旅游、游泳、垂钓或者其他可能污染饮用水水体的活动。</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第二十一条</w:t>
      </w:r>
      <w:r>
        <w:rPr>
          <w:rFonts w:eastAsia="黑体" w:hint="eastAsia"/>
          <w:sz w:val="32"/>
          <w:szCs w:val="32"/>
        </w:rPr>
        <w:t xml:space="preserve">  </w:t>
      </w:r>
      <w:r>
        <w:rPr>
          <w:rFonts w:eastAsia="仿宋_GB2312"/>
          <w:sz w:val="32"/>
          <w:szCs w:val="32"/>
        </w:rPr>
        <w:t>地下水饮用水水源二级保护区内，除遵守本办法第十九条规定外，还应当遵守下列规定：</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（一）禁止新建、改建、扩建排放污染物的建设项目；</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lastRenderedPageBreak/>
        <w:t>（</w:t>
      </w:r>
      <w:r>
        <w:rPr>
          <w:rFonts w:eastAsia="仿宋_GB2312" w:hint="eastAsia"/>
          <w:sz w:val="32"/>
          <w:szCs w:val="32"/>
        </w:rPr>
        <w:t>二</w:t>
      </w:r>
      <w:r>
        <w:rPr>
          <w:rFonts w:eastAsia="仿宋_GB2312"/>
          <w:sz w:val="32"/>
          <w:szCs w:val="32"/>
        </w:rPr>
        <w:t>）</w:t>
      </w:r>
      <w:r>
        <w:rPr>
          <w:rFonts w:eastAsia="仿宋_GB2312" w:hint="eastAsia"/>
          <w:sz w:val="32"/>
          <w:szCs w:val="32"/>
        </w:rPr>
        <w:t>禁止设置排污口；</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三</w:t>
      </w:r>
      <w:r>
        <w:rPr>
          <w:rFonts w:eastAsia="仿宋_GB2312"/>
          <w:sz w:val="32"/>
          <w:szCs w:val="32"/>
        </w:rPr>
        <w:t>）潜水含水层地下水水源地，禁止建设化工、电镀、皮革、造纸、制浆、冶炼、放射性、印染、染料、炼焦、炼油及其他有严重污染的企业；禁止设置垃圾、粪便和易溶、有毒有害废弃物堆放场和转运站；禁止利用未经净化的污水灌溉农田；化工原料、矿物油类及有毒有害矿产品的堆放场所必须有防雨、防渗措施；</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四</w:t>
      </w:r>
      <w:r>
        <w:rPr>
          <w:rFonts w:eastAsia="仿宋_GB2312"/>
          <w:sz w:val="32"/>
          <w:szCs w:val="32"/>
        </w:rPr>
        <w:t>）承压含水层地下水水源地，禁止承压水和潜水的混合开采，做好潜水的止水措施；</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五</w:t>
      </w:r>
      <w:r>
        <w:rPr>
          <w:rFonts w:eastAsia="仿宋_GB2312"/>
          <w:sz w:val="32"/>
          <w:szCs w:val="32"/>
        </w:rPr>
        <w:t>）从事网箱养殖、旅游等活动的，应当按照规定采取措施，防止污染饮用水水体。</w:t>
      </w:r>
    </w:p>
    <w:p w:rsidR="00C068E8" w:rsidRDefault="00C068E8" w:rsidP="00C068E8">
      <w:pPr>
        <w:adjustRightInd w:val="0"/>
        <w:snapToGrid w:val="0"/>
        <w:spacing w:line="576" w:lineRule="exact"/>
        <w:rPr>
          <w:rFonts w:eastAsia="仿宋_GB2312"/>
          <w:sz w:val="32"/>
          <w:szCs w:val="32"/>
        </w:rPr>
      </w:pPr>
      <w:r>
        <w:rPr>
          <w:rFonts w:eastAsia="黑体"/>
          <w:sz w:val="32"/>
          <w:szCs w:val="32"/>
        </w:rPr>
        <w:t xml:space="preserve">    </w:t>
      </w:r>
      <w:r>
        <w:rPr>
          <w:rFonts w:eastAsia="黑体"/>
          <w:sz w:val="32"/>
          <w:szCs w:val="32"/>
        </w:rPr>
        <w:t>第二十二条</w:t>
      </w:r>
      <w:r>
        <w:rPr>
          <w:rFonts w:eastAsia="仿宋_GB2312"/>
          <w:sz w:val="32"/>
          <w:szCs w:val="32"/>
        </w:rPr>
        <w:t xml:space="preserve">  </w:t>
      </w:r>
      <w:r>
        <w:rPr>
          <w:rFonts w:eastAsia="仿宋_GB2312"/>
          <w:sz w:val="32"/>
          <w:szCs w:val="32"/>
        </w:rPr>
        <w:t>地下水饮用水水源准保护区内，除遵守本办法第十九条规定外，还应当遵守下列规定：</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仿宋_GB2312"/>
          <w:sz w:val="32"/>
          <w:szCs w:val="32"/>
        </w:rPr>
        <w:t>（一）禁止新建、扩建对水体污染严重的建设项目、改建增加排污量的建设项目；</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（二）禁止建设垃圾、粪便和易溶、有毒有害废弃物的堆放场站，因特殊需要设立转运站的，必须经有关部门批准，并采取防渗漏措施；</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（三）禁止使用不符合《农田灌溉水质标准》的污水进行灌溉，合理使用化肥；</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（四）保护水源涵养林，禁止毁林开荒、非更新砍伐水源涵</w:t>
      </w:r>
      <w:r>
        <w:rPr>
          <w:rFonts w:eastAsia="仿宋_GB2312"/>
          <w:sz w:val="32"/>
          <w:szCs w:val="32"/>
        </w:rPr>
        <w:lastRenderedPageBreak/>
        <w:t>养林。</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第二十三条</w:t>
      </w:r>
      <w:r>
        <w:rPr>
          <w:rFonts w:eastAsia="仿宋_GB2312"/>
          <w:sz w:val="32"/>
          <w:szCs w:val="32"/>
        </w:rPr>
        <w:t xml:space="preserve">  </w:t>
      </w:r>
      <w:r>
        <w:rPr>
          <w:rFonts w:eastAsia="仿宋_GB2312"/>
          <w:sz w:val="32"/>
          <w:szCs w:val="32"/>
        </w:rPr>
        <w:t>在地下水饮用水水源保护区及周边建设地下工程时，建设单位应当采取有效措施，防止地下水污染和地下水水位下降。</w:t>
      </w:r>
    </w:p>
    <w:p w:rsidR="00C068E8" w:rsidRDefault="00C068E8" w:rsidP="00C068E8">
      <w:pPr>
        <w:adjustRightInd w:val="0"/>
        <w:snapToGrid w:val="0"/>
        <w:spacing w:beforeLines="100" w:before="312" w:afterLines="100" w:after="312" w:line="576" w:lineRule="exact"/>
        <w:jc w:val="center"/>
        <w:rPr>
          <w:rFonts w:eastAsia="黑体"/>
          <w:sz w:val="32"/>
          <w:szCs w:val="32"/>
        </w:rPr>
      </w:pPr>
      <w:r>
        <w:rPr>
          <w:rFonts w:eastAsia="黑体"/>
          <w:sz w:val="32"/>
          <w:szCs w:val="32"/>
        </w:rPr>
        <w:t>第五章</w:t>
      </w:r>
      <w:r>
        <w:rPr>
          <w:rFonts w:eastAsia="黑体"/>
          <w:sz w:val="32"/>
          <w:szCs w:val="32"/>
        </w:rPr>
        <w:t xml:space="preserve">  </w:t>
      </w:r>
      <w:r>
        <w:rPr>
          <w:rFonts w:eastAsia="黑体"/>
          <w:sz w:val="32"/>
          <w:szCs w:val="32"/>
        </w:rPr>
        <w:t>饮用水水源保护区的监督管理</w:t>
      </w:r>
    </w:p>
    <w:p w:rsidR="00C068E8" w:rsidRDefault="00C068E8" w:rsidP="00C068E8">
      <w:pPr>
        <w:spacing w:line="576" w:lineRule="exact"/>
        <w:ind w:firstLineChars="200" w:firstLine="640"/>
        <w:rPr>
          <w:rFonts w:eastAsia="仿宋"/>
          <w:sz w:val="32"/>
          <w:szCs w:val="32"/>
        </w:rPr>
      </w:pPr>
      <w:r>
        <w:rPr>
          <w:rFonts w:eastAsia="黑体"/>
          <w:sz w:val="32"/>
          <w:szCs w:val="32"/>
        </w:rPr>
        <w:t>第二十四条</w:t>
      </w:r>
      <w:r>
        <w:rPr>
          <w:rFonts w:eastAsia="仿宋_GB2312"/>
          <w:sz w:val="32"/>
          <w:szCs w:val="32"/>
        </w:rPr>
        <w:t xml:space="preserve">  </w:t>
      </w:r>
      <w:r>
        <w:rPr>
          <w:rFonts w:eastAsia="仿宋_GB2312"/>
          <w:sz w:val="32"/>
          <w:szCs w:val="32"/>
        </w:rPr>
        <w:t>市、县区</w:t>
      </w:r>
      <w:r>
        <w:rPr>
          <w:rFonts w:eastAsia="仿宋" w:hAnsi="仿宋"/>
          <w:sz w:val="32"/>
          <w:szCs w:val="32"/>
        </w:rPr>
        <w:t>人民政府应当建立饮用水水源保护区环境保护责任制度，向社会公开饮用水水源保护区环境保护的责任人和职责。</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第二十五条</w:t>
      </w:r>
      <w:r>
        <w:rPr>
          <w:rFonts w:eastAsia="仿宋_GB2312"/>
          <w:sz w:val="32"/>
          <w:szCs w:val="32"/>
        </w:rPr>
        <w:t xml:space="preserve"> </w:t>
      </w:r>
      <w:r>
        <w:rPr>
          <w:rFonts w:eastAsia="仿宋_GB2312"/>
          <w:b/>
          <w:bCs/>
          <w:sz w:val="32"/>
          <w:szCs w:val="32"/>
        </w:rPr>
        <w:t xml:space="preserve"> </w:t>
      </w:r>
      <w:r>
        <w:rPr>
          <w:rFonts w:eastAsia="仿宋_GB2312"/>
          <w:sz w:val="32"/>
          <w:szCs w:val="32"/>
        </w:rPr>
        <w:t>市、县区人民政府应当组织编制饮用水安全突发事件应急预案。</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hint="eastAsia"/>
          <w:sz w:val="32"/>
          <w:szCs w:val="32"/>
        </w:rPr>
        <w:t>生态环境</w:t>
      </w:r>
      <w:r>
        <w:rPr>
          <w:rFonts w:eastAsia="仿宋_GB2312"/>
          <w:sz w:val="32"/>
          <w:szCs w:val="32"/>
        </w:rPr>
        <w:t>部门应当拟定饮用水水源保护区突发水污染事件应急预案，报同级人民政府批准后实施。</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饮用水供水单位应当根据所在地饮用水安全突发事件应急预案，制定相应的突发事件应急方案，报市、县区人民政府备案，同时做好相关应急准备和应急演练工作。</w:t>
      </w:r>
    </w:p>
    <w:p w:rsidR="00C068E8" w:rsidRDefault="00C068E8" w:rsidP="00C068E8">
      <w:pPr>
        <w:spacing w:line="576" w:lineRule="exact"/>
        <w:ind w:firstLineChars="200" w:firstLine="640"/>
        <w:rPr>
          <w:rFonts w:eastAsia="仿宋_GB2312"/>
          <w:sz w:val="32"/>
          <w:szCs w:val="32"/>
        </w:rPr>
      </w:pPr>
      <w:r>
        <w:rPr>
          <w:rFonts w:eastAsia="黑体"/>
          <w:sz w:val="32"/>
          <w:szCs w:val="32"/>
        </w:rPr>
        <w:t>第二十六条</w:t>
      </w:r>
      <w:r>
        <w:rPr>
          <w:rFonts w:eastAsia="黑体"/>
          <w:sz w:val="32"/>
          <w:szCs w:val="32"/>
        </w:rPr>
        <w:t xml:space="preserve">  </w:t>
      </w:r>
      <w:r>
        <w:rPr>
          <w:rFonts w:eastAsia="仿宋_GB2312"/>
          <w:sz w:val="32"/>
          <w:szCs w:val="32"/>
        </w:rPr>
        <w:t>市、</w:t>
      </w:r>
      <w:r>
        <w:rPr>
          <w:rFonts w:eastAsia="仿宋_GB2312" w:hAnsi="仿宋_GB2312"/>
          <w:sz w:val="32"/>
          <w:szCs w:val="32"/>
        </w:rPr>
        <w:t>县区人民政府应当适时组织</w:t>
      </w:r>
      <w:r>
        <w:rPr>
          <w:rFonts w:eastAsia="仿宋_GB2312" w:hAnsi="仿宋_GB2312" w:hint="eastAsia"/>
          <w:sz w:val="32"/>
          <w:szCs w:val="32"/>
        </w:rPr>
        <w:t>生态环境</w:t>
      </w:r>
      <w:r>
        <w:rPr>
          <w:rFonts w:eastAsia="仿宋_GB2312" w:hAnsi="仿宋_GB2312"/>
          <w:sz w:val="32"/>
          <w:szCs w:val="32"/>
        </w:rPr>
        <w:t>、水务、</w:t>
      </w:r>
      <w:r>
        <w:rPr>
          <w:rFonts w:eastAsia="仿宋_GB2312" w:hAnsi="仿宋_GB2312" w:hint="eastAsia"/>
          <w:sz w:val="32"/>
          <w:szCs w:val="32"/>
        </w:rPr>
        <w:t>住建</w:t>
      </w:r>
      <w:r>
        <w:rPr>
          <w:rFonts w:eastAsia="仿宋_GB2312" w:hAnsi="仿宋_GB2312"/>
          <w:sz w:val="32"/>
          <w:szCs w:val="32"/>
        </w:rPr>
        <w:t>等部门，对饮用水水源保护区、地下水饮用水水源</w:t>
      </w:r>
      <w:proofErr w:type="gramStart"/>
      <w:r>
        <w:rPr>
          <w:rFonts w:eastAsia="仿宋_GB2312" w:hAnsi="仿宋_GB2312"/>
          <w:sz w:val="32"/>
          <w:szCs w:val="32"/>
        </w:rPr>
        <w:t>补给区</w:t>
      </w:r>
      <w:proofErr w:type="gramEnd"/>
      <w:r>
        <w:rPr>
          <w:rFonts w:eastAsia="仿宋_GB2312" w:hAnsi="仿宋_GB2312"/>
          <w:sz w:val="32"/>
          <w:szCs w:val="32"/>
        </w:rPr>
        <w:t>及供水单位周边区域环境状况和污染风险进行调查评估，筛查可能存在的污染风险因素，并采取相应的风险防范措施。</w:t>
      </w:r>
      <w:r>
        <w:rPr>
          <w:rFonts w:eastAsia="黑体"/>
          <w:sz w:val="32"/>
          <w:szCs w:val="32"/>
        </w:rPr>
        <w:t xml:space="preserve"> </w:t>
      </w:r>
      <w:r>
        <w:rPr>
          <w:rFonts w:eastAsia="仿宋_GB2312"/>
          <w:sz w:val="32"/>
          <w:szCs w:val="32"/>
        </w:rPr>
        <w:t xml:space="preserve"> </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第二十七条</w:t>
      </w:r>
      <w:r>
        <w:rPr>
          <w:rFonts w:eastAsia="仿宋_GB2312"/>
          <w:sz w:val="32"/>
          <w:szCs w:val="32"/>
        </w:rPr>
        <w:t xml:space="preserve">  </w:t>
      </w:r>
      <w:r>
        <w:rPr>
          <w:rFonts w:eastAsia="仿宋_GB2312"/>
          <w:sz w:val="32"/>
          <w:szCs w:val="32"/>
        </w:rPr>
        <w:t>市、县区人民政府应当建设应急水源或者备用</w:t>
      </w:r>
      <w:r>
        <w:rPr>
          <w:rFonts w:eastAsia="仿宋_GB2312"/>
          <w:sz w:val="32"/>
          <w:szCs w:val="32"/>
        </w:rPr>
        <w:lastRenderedPageBreak/>
        <w:t>水源并加强监督管理。</w:t>
      </w:r>
    </w:p>
    <w:p w:rsidR="00C068E8" w:rsidRDefault="00C068E8" w:rsidP="00C068E8">
      <w:pPr>
        <w:adjustRightInd w:val="0"/>
        <w:snapToGrid w:val="0"/>
        <w:spacing w:line="576" w:lineRule="exact"/>
        <w:rPr>
          <w:rFonts w:eastAsia="仿宋_GB2312"/>
          <w:sz w:val="32"/>
          <w:szCs w:val="32"/>
        </w:rPr>
      </w:pPr>
      <w:r>
        <w:rPr>
          <w:rFonts w:eastAsia="黑体"/>
          <w:sz w:val="32"/>
          <w:szCs w:val="32"/>
        </w:rPr>
        <w:t xml:space="preserve">    </w:t>
      </w:r>
      <w:r>
        <w:rPr>
          <w:rFonts w:eastAsia="黑体"/>
          <w:sz w:val="32"/>
          <w:szCs w:val="32"/>
        </w:rPr>
        <w:t>第二十八条</w:t>
      </w:r>
      <w:r>
        <w:rPr>
          <w:rFonts w:eastAsia="黑体"/>
          <w:sz w:val="32"/>
          <w:szCs w:val="32"/>
        </w:rPr>
        <w:t xml:space="preserve">  </w:t>
      </w:r>
      <w:r>
        <w:rPr>
          <w:rFonts w:eastAsia="仿宋_GB2312"/>
          <w:sz w:val="32"/>
          <w:szCs w:val="32"/>
        </w:rPr>
        <w:t>县区人民政府应当建立饮用水水源保护区巡查制度。</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饮用水水源一级保护区实行定期巡查，二级保护区和准保护区实行不定期巡查，做好巡查记录。</w:t>
      </w:r>
    </w:p>
    <w:p w:rsidR="00C068E8" w:rsidRDefault="00C068E8" w:rsidP="00C068E8">
      <w:pPr>
        <w:spacing w:line="576" w:lineRule="exact"/>
        <w:rPr>
          <w:rFonts w:eastAsia="仿宋_GB2312"/>
          <w:sz w:val="32"/>
          <w:szCs w:val="32"/>
        </w:rPr>
      </w:pPr>
      <w:r>
        <w:rPr>
          <w:rFonts w:eastAsia="黑体"/>
          <w:sz w:val="32"/>
          <w:szCs w:val="32"/>
        </w:rPr>
        <w:t xml:space="preserve">    </w:t>
      </w:r>
      <w:r>
        <w:rPr>
          <w:rFonts w:eastAsia="黑体" w:hAnsi="黑体"/>
          <w:sz w:val="32"/>
          <w:szCs w:val="32"/>
        </w:rPr>
        <w:t>第二十九条</w:t>
      </w:r>
      <w:r>
        <w:rPr>
          <w:rFonts w:eastAsia="黑体"/>
          <w:sz w:val="32"/>
          <w:szCs w:val="32"/>
        </w:rPr>
        <w:t xml:space="preserve"> </w:t>
      </w:r>
      <w:r>
        <w:rPr>
          <w:rFonts w:eastAsia="仿宋_GB2312"/>
          <w:sz w:val="32"/>
          <w:szCs w:val="32"/>
        </w:rPr>
        <w:t xml:space="preserve"> </w:t>
      </w:r>
      <w:r>
        <w:rPr>
          <w:rFonts w:eastAsia="仿宋_GB2312" w:hAnsi="仿宋_GB2312"/>
          <w:sz w:val="32"/>
          <w:szCs w:val="32"/>
        </w:rPr>
        <w:t>县区人民政府应当定期组织</w:t>
      </w:r>
      <w:r>
        <w:rPr>
          <w:rFonts w:eastAsia="仿宋_GB2312" w:hAnsi="仿宋_GB2312" w:hint="eastAsia"/>
          <w:sz w:val="32"/>
          <w:szCs w:val="32"/>
        </w:rPr>
        <w:t>生态环境</w:t>
      </w:r>
      <w:r>
        <w:rPr>
          <w:rFonts w:eastAsia="仿宋_GB2312" w:hAnsi="仿宋_GB2312"/>
          <w:sz w:val="32"/>
          <w:szCs w:val="32"/>
        </w:rPr>
        <w:t>、</w:t>
      </w:r>
      <w:r>
        <w:rPr>
          <w:rFonts w:eastAsia="仿宋_GB2312" w:hAnsi="仿宋_GB2312" w:hint="eastAsia"/>
          <w:sz w:val="32"/>
          <w:szCs w:val="32"/>
        </w:rPr>
        <w:t>住建、水务、卫生健康</w:t>
      </w:r>
      <w:r>
        <w:rPr>
          <w:rFonts w:eastAsia="仿宋_GB2312" w:hAnsi="仿宋_GB2312"/>
          <w:sz w:val="32"/>
          <w:szCs w:val="32"/>
        </w:rPr>
        <w:t>等部门监测、评估饮用水安全状况，至少每季度向社会公开一次饮用水安全状况信息。</w:t>
      </w:r>
    </w:p>
    <w:p w:rsidR="00C068E8" w:rsidRDefault="00C068E8" w:rsidP="00C068E8">
      <w:pPr>
        <w:spacing w:line="576" w:lineRule="exact"/>
        <w:ind w:firstLineChars="200" w:firstLine="640"/>
        <w:rPr>
          <w:rFonts w:eastAsia="仿宋_GB2312"/>
          <w:sz w:val="32"/>
          <w:szCs w:val="32"/>
        </w:rPr>
      </w:pPr>
      <w:r>
        <w:rPr>
          <w:rFonts w:eastAsia="黑体"/>
          <w:sz w:val="32"/>
          <w:szCs w:val="32"/>
        </w:rPr>
        <w:t>第三十条</w:t>
      </w:r>
      <w:r>
        <w:rPr>
          <w:rFonts w:eastAsia="黑体"/>
          <w:sz w:val="32"/>
          <w:szCs w:val="32"/>
        </w:rPr>
        <w:t xml:space="preserve"> </w:t>
      </w:r>
      <w:r>
        <w:rPr>
          <w:rFonts w:eastAsia="仿宋_GB2312"/>
          <w:sz w:val="32"/>
          <w:szCs w:val="32"/>
        </w:rPr>
        <w:t xml:space="preserve"> </w:t>
      </w:r>
      <w:r>
        <w:rPr>
          <w:rFonts w:eastAsia="仿宋_GB2312" w:hAnsi="仿宋_GB2312"/>
          <w:sz w:val="32"/>
          <w:szCs w:val="32"/>
        </w:rPr>
        <w:t>饮用水供水单位应当建立水质监测体系，对供水水质负责，保证供水水质符合国家有关标准。发现取水口水质不符合饮用水水源水质标准或者出水口水质不符合饮用水卫生标准的，应当及时采取措施，并立即向供水主管部门报告。</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第三十一条</w:t>
      </w:r>
      <w:r>
        <w:rPr>
          <w:rFonts w:eastAsia="仿宋_GB2312"/>
          <w:sz w:val="32"/>
          <w:szCs w:val="32"/>
        </w:rPr>
        <w:t xml:space="preserve">  </w:t>
      </w:r>
      <w:r>
        <w:rPr>
          <w:rFonts w:eastAsia="仿宋_GB2312" w:hint="eastAsia"/>
          <w:sz w:val="32"/>
          <w:szCs w:val="32"/>
        </w:rPr>
        <w:t>市、县区生态环境</w:t>
      </w:r>
      <w:r>
        <w:rPr>
          <w:rFonts w:eastAsia="仿宋_GB2312"/>
          <w:sz w:val="32"/>
          <w:szCs w:val="32"/>
        </w:rPr>
        <w:t>部门负责监督检查饮用水水源保护区及周围的排污单位及其他排污行为，监督管理饮用水水源保护区河道、水库和入河（库）排污口</w:t>
      </w:r>
      <w:r>
        <w:rPr>
          <w:rFonts w:eastAsia="仿宋_GB2312" w:hint="eastAsia"/>
          <w:sz w:val="32"/>
          <w:szCs w:val="32"/>
        </w:rPr>
        <w:t>，</w:t>
      </w:r>
      <w:r>
        <w:rPr>
          <w:rFonts w:eastAsia="仿宋_GB2312"/>
          <w:sz w:val="32"/>
          <w:szCs w:val="32"/>
        </w:rPr>
        <w:t>监测饮用水水源</w:t>
      </w:r>
      <w:r>
        <w:rPr>
          <w:rFonts w:eastAsia="仿宋_GB2312" w:hint="eastAsia"/>
          <w:sz w:val="32"/>
          <w:szCs w:val="32"/>
        </w:rPr>
        <w:t>保护区</w:t>
      </w:r>
      <w:r>
        <w:rPr>
          <w:rFonts w:eastAsia="仿宋_GB2312"/>
          <w:sz w:val="32"/>
          <w:szCs w:val="32"/>
        </w:rPr>
        <w:t>水质，牵头划定并管理与饮用水水源保护区相关的禁养区，组织开展饮用水水源保护区巡查，依法查处违反饮用水水源保护区环境保护管理相关规定的行为等。</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第三十二条</w:t>
      </w:r>
      <w:r>
        <w:rPr>
          <w:rFonts w:eastAsia="黑体"/>
          <w:sz w:val="32"/>
          <w:szCs w:val="32"/>
        </w:rPr>
        <w:t xml:space="preserve"> </w:t>
      </w:r>
      <w:r>
        <w:rPr>
          <w:rFonts w:eastAsia="仿宋_GB2312"/>
          <w:sz w:val="32"/>
          <w:szCs w:val="32"/>
        </w:rPr>
        <w:t xml:space="preserve"> </w:t>
      </w:r>
      <w:r>
        <w:rPr>
          <w:rFonts w:eastAsia="仿宋_GB2312"/>
          <w:sz w:val="32"/>
          <w:szCs w:val="32"/>
        </w:rPr>
        <w:t>县区水务部门负责监督管理饮用水水源保护</w:t>
      </w:r>
      <w:r>
        <w:rPr>
          <w:rFonts w:eastAsia="仿宋_GB2312" w:hint="eastAsia"/>
          <w:sz w:val="32"/>
          <w:szCs w:val="32"/>
        </w:rPr>
        <w:t>区</w:t>
      </w:r>
      <w:r>
        <w:rPr>
          <w:rFonts w:eastAsia="仿宋_GB2312"/>
          <w:sz w:val="32"/>
          <w:szCs w:val="32"/>
        </w:rPr>
        <w:t>河道采砂，建设和保护乡镇饮用水水源保护区供水设施等。</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第三十三条</w:t>
      </w:r>
      <w:r>
        <w:rPr>
          <w:rFonts w:eastAsia="仿宋_GB2312" w:hint="eastAsia"/>
          <w:sz w:val="32"/>
          <w:szCs w:val="32"/>
        </w:rPr>
        <w:t xml:space="preserve">  </w:t>
      </w:r>
      <w:r>
        <w:rPr>
          <w:rFonts w:eastAsia="仿宋_GB2312" w:hint="eastAsia"/>
          <w:sz w:val="32"/>
          <w:szCs w:val="32"/>
        </w:rPr>
        <w:t>市、</w:t>
      </w:r>
      <w:r>
        <w:rPr>
          <w:rFonts w:eastAsia="仿宋_GB2312"/>
          <w:sz w:val="32"/>
          <w:szCs w:val="32"/>
        </w:rPr>
        <w:t>县</w:t>
      </w:r>
      <w:r>
        <w:rPr>
          <w:rFonts w:eastAsia="仿宋_GB2312" w:hint="eastAsia"/>
          <w:sz w:val="32"/>
          <w:szCs w:val="32"/>
        </w:rPr>
        <w:t>住</w:t>
      </w:r>
      <w:proofErr w:type="gramStart"/>
      <w:r>
        <w:rPr>
          <w:rFonts w:eastAsia="仿宋_GB2312" w:hint="eastAsia"/>
          <w:sz w:val="32"/>
          <w:szCs w:val="32"/>
        </w:rPr>
        <w:t>建</w:t>
      </w:r>
      <w:r>
        <w:rPr>
          <w:rFonts w:eastAsia="仿宋_GB2312"/>
          <w:sz w:val="32"/>
          <w:szCs w:val="32"/>
        </w:rPr>
        <w:t>部门</w:t>
      </w:r>
      <w:proofErr w:type="gramEnd"/>
      <w:r>
        <w:rPr>
          <w:rFonts w:eastAsia="仿宋_GB2312"/>
          <w:sz w:val="32"/>
          <w:szCs w:val="32"/>
        </w:rPr>
        <w:t>负责建设和保护</w:t>
      </w:r>
      <w:r>
        <w:rPr>
          <w:rFonts w:eastAsia="仿宋_GB2312" w:hint="eastAsia"/>
          <w:sz w:val="32"/>
          <w:szCs w:val="32"/>
        </w:rPr>
        <w:t>市级、</w:t>
      </w:r>
      <w:r>
        <w:rPr>
          <w:rFonts w:eastAsia="仿宋_GB2312"/>
          <w:sz w:val="32"/>
          <w:szCs w:val="32"/>
        </w:rPr>
        <w:t>县级饮</w:t>
      </w:r>
      <w:r>
        <w:rPr>
          <w:rFonts w:eastAsia="仿宋_GB2312"/>
          <w:sz w:val="32"/>
          <w:szCs w:val="32"/>
        </w:rPr>
        <w:lastRenderedPageBreak/>
        <w:t>用水水源保护区供水设施，依法查处饮用水供水单位供水水质不符合国家标准的行为等。</w:t>
      </w:r>
    </w:p>
    <w:p w:rsidR="00C068E8" w:rsidRDefault="00C068E8" w:rsidP="00C068E8">
      <w:pPr>
        <w:spacing w:line="576" w:lineRule="exact"/>
        <w:ind w:firstLineChars="200" w:firstLine="640"/>
        <w:rPr>
          <w:rFonts w:eastAsia="仿宋_GB2312"/>
          <w:sz w:val="32"/>
          <w:szCs w:val="32"/>
        </w:rPr>
      </w:pPr>
      <w:r>
        <w:rPr>
          <w:rFonts w:eastAsia="黑体"/>
          <w:sz w:val="32"/>
          <w:szCs w:val="32"/>
        </w:rPr>
        <w:t>第三十四条</w:t>
      </w:r>
      <w:r>
        <w:rPr>
          <w:rFonts w:eastAsia="仿宋_GB2312" w:hint="eastAsia"/>
          <w:sz w:val="32"/>
          <w:szCs w:val="32"/>
        </w:rPr>
        <w:t xml:space="preserve">  </w:t>
      </w:r>
      <w:r>
        <w:rPr>
          <w:rFonts w:eastAsia="仿宋_GB2312"/>
          <w:sz w:val="32"/>
          <w:szCs w:val="32"/>
        </w:rPr>
        <w:t>县区</w:t>
      </w:r>
      <w:r>
        <w:rPr>
          <w:rFonts w:eastAsia="仿宋_GB2312" w:hint="eastAsia"/>
          <w:sz w:val="32"/>
          <w:szCs w:val="32"/>
        </w:rPr>
        <w:t>卫生健康</w:t>
      </w:r>
      <w:r>
        <w:rPr>
          <w:rFonts w:eastAsia="仿宋_GB2312"/>
          <w:sz w:val="32"/>
          <w:szCs w:val="32"/>
        </w:rPr>
        <w:t>部门负责监督检查饮用水卫生标准执行情况，</w:t>
      </w:r>
      <w:r>
        <w:rPr>
          <w:rFonts w:eastAsia="仿宋_GB2312" w:hAnsi="仿宋_GB2312"/>
          <w:sz w:val="32"/>
          <w:szCs w:val="32"/>
        </w:rPr>
        <w:t>定期监测用户水龙头出水水质，公布监测结果等。</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第三十五条</w:t>
      </w:r>
      <w:r>
        <w:rPr>
          <w:rFonts w:eastAsia="黑体"/>
          <w:sz w:val="32"/>
          <w:szCs w:val="32"/>
        </w:rPr>
        <w:t xml:space="preserve"> </w:t>
      </w:r>
      <w:r>
        <w:rPr>
          <w:rFonts w:eastAsia="仿宋_GB2312"/>
          <w:sz w:val="32"/>
          <w:szCs w:val="32"/>
        </w:rPr>
        <w:t xml:space="preserve"> </w:t>
      </w:r>
      <w:r>
        <w:rPr>
          <w:rFonts w:eastAsia="仿宋_GB2312"/>
          <w:sz w:val="32"/>
          <w:szCs w:val="32"/>
        </w:rPr>
        <w:t>县区畜牧</w:t>
      </w:r>
      <w:r>
        <w:rPr>
          <w:rFonts w:eastAsia="仿宋_GB2312" w:hint="eastAsia"/>
          <w:sz w:val="32"/>
          <w:szCs w:val="32"/>
        </w:rPr>
        <w:t>兽医</w:t>
      </w:r>
      <w:r>
        <w:rPr>
          <w:rFonts w:eastAsia="仿宋_GB2312"/>
          <w:sz w:val="32"/>
          <w:szCs w:val="32"/>
        </w:rPr>
        <w:t>部门负责指导饮用水水源保护区及周边畜牧业生产、畜牧结构调整，监督管理饮用水水源保护区及周边畜禽养殖和网箱养殖活动，指导畜禽养殖业开展污染防治和废弃物资源化利用等。</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第三十六条</w:t>
      </w:r>
      <w:r>
        <w:rPr>
          <w:rFonts w:eastAsia="仿宋_GB2312" w:hint="eastAsia"/>
          <w:sz w:val="32"/>
          <w:szCs w:val="32"/>
        </w:rPr>
        <w:t xml:space="preserve">  </w:t>
      </w:r>
      <w:r>
        <w:rPr>
          <w:rFonts w:eastAsia="仿宋_GB2312"/>
          <w:sz w:val="32"/>
          <w:szCs w:val="32"/>
        </w:rPr>
        <w:t>县区农业</w:t>
      </w:r>
      <w:r>
        <w:rPr>
          <w:rFonts w:eastAsia="仿宋_GB2312" w:hint="eastAsia"/>
          <w:sz w:val="32"/>
          <w:szCs w:val="32"/>
        </w:rPr>
        <w:t>农村</w:t>
      </w:r>
      <w:r>
        <w:rPr>
          <w:rFonts w:eastAsia="仿宋_GB2312"/>
          <w:sz w:val="32"/>
          <w:szCs w:val="32"/>
        </w:rPr>
        <w:t>部门负责监督管理饮用水水源保护区及周边农药、化肥施用和农业废弃物处置等。</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第三十七条</w:t>
      </w:r>
      <w:r>
        <w:rPr>
          <w:rFonts w:eastAsia="仿宋_GB2312" w:hint="eastAsia"/>
          <w:sz w:val="32"/>
          <w:szCs w:val="32"/>
        </w:rPr>
        <w:t xml:space="preserve">  </w:t>
      </w:r>
      <w:r>
        <w:rPr>
          <w:rFonts w:eastAsia="仿宋_GB2312"/>
          <w:sz w:val="32"/>
          <w:szCs w:val="32"/>
        </w:rPr>
        <w:t>县区</w:t>
      </w:r>
      <w:r>
        <w:rPr>
          <w:rFonts w:eastAsia="仿宋_GB2312" w:hint="eastAsia"/>
          <w:sz w:val="32"/>
          <w:szCs w:val="32"/>
        </w:rPr>
        <w:t>林草</w:t>
      </w:r>
      <w:r>
        <w:rPr>
          <w:rFonts w:eastAsia="仿宋_GB2312"/>
          <w:sz w:val="32"/>
          <w:szCs w:val="32"/>
        </w:rPr>
        <w:t>部门负责制定和实施饮用水水源保护区水源涵养林建设、发展和利用规划，保护管理涵养林、植被及湿地，依法查处破坏饮用水水源保护区水源涵养林、植被及湿地的行为等。</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第三十八条</w:t>
      </w:r>
      <w:r>
        <w:rPr>
          <w:rFonts w:eastAsia="仿宋_GB2312" w:hint="eastAsia"/>
          <w:sz w:val="32"/>
          <w:szCs w:val="32"/>
        </w:rPr>
        <w:t xml:space="preserve">  </w:t>
      </w:r>
      <w:r>
        <w:rPr>
          <w:rFonts w:eastAsia="仿宋_GB2312" w:hint="eastAsia"/>
          <w:sz w:val="32"/>
          <w:szCs w:val="32"/>
        </w:rPr>
        <w:t>市、</w:t>
      </w:r>
      <w:r>
        <w:rPr>
          <w:rFonts w:eastAsia="仿宋_GB2312"/>
          <w:sz w:val="32"/>
          <w:szCs w:val="32"/>
        </w:rPr>
        <w:t>县区</w:t>
      </w:r>
      <w:r>
        <w:rPr>
          <w:rFonts w:eastAsia="仿宋_GB2312" w:hint="eastAsia"/>
          <w:sz w:val="32"/>
          <w:szCs w:val="32"/>
        </w:rPr>
        <w:t>自然</w:t>
      </w:r>
      <w:r>
        <w:rPr>
          <w:rFonts w:eastAsia="仿宋_GB2312"/>
          <w:sz w:val="32"/>
          <w:szCs w:val="32"/>
        </w:rPr>
        <w:t>资源部门负责统筹安排饮用水水源保护区及周围有影响的或者有潜在影响的建设项目规划，监督管理饮用水水源保护区及周边矿产资源</w:t>
      </w:r>
      <w:r>
        <w:rPr>
          <w:rFonts w:eastAsia="仿宋_GB2312" w:hint="eastAsia"/>
          <w:sz w:val="32"/>
          <w:szCs w:val="32"/>
        </w:rPr>
        <w:t>开发利用</w:t>
      </w:r>
      <w:r>
        <w:rPr>
          <w:rFonts w:eastAsia="仿宋_GB2312"/>
          <w:sz w:val="32"/>
          <w:szCs w:val="32"/>
        </w:rPr>
        <w:t>，依法查处违反</w:t>
      </w:r>
      <w:r>
        <w:rPr>
          <w:rFonts w:eastAsia="仿宋_GB2312" w:hint="eastAsia"/>
          <w:sz w:val="32"/>
          <w:szCs w:val="32"/>
        </w:rPr>
        <w:t>自然</w:t>
      </w:r>
      <w:r>
        <w:rPr>
          <w:rFonts w:eastAsia="仿宋_GB2312"/>
          <w:sz w:val="32"/>
          <w:szCs w:val="32"/>
        </w:rPr>
        <w:t>资源管理相关规定影响饮用水水源保护区环境的行为等。</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第三十九条</w:t>
      </w:r>
      <w:r>
        <w:rPr>
          <w:rFonts w:eastAsia="仿宋_GB2312"/>
          <w:sz w:val="32"/>
          <w:szCs w:val="32"/>
        </w:rPr>
        <w:t xml:space="preserve">  </w:t>
      </w:r>
      <w:r>
        <w:rPr>
          <w:rFonts w:eastAsia="仿宋_GB2312"/>
          <w:sz w:val="32"/>
          <w:szCs w:val="32"/>
        </w:rPr>
        <w:t>县区交通运输部门负责统筹安排饮用水水源保护区及周围有影响的、潜在的交通运输基础设施建设及运输工具的管理，建设和</w:t>
      </w:r>
      <w:proofErr w:type="gramStart"/>
      <w:r>
        <w:rPr>
          <w:rFonts w:eastAsia="仿宋_GB2312"/>
          <w:sz w:val="32"/>
          <w:szCs w:val="32"/>
        </w:rPr>
        <w:t>完善通过</w:t>
      </w:r>
      <w:proofErr w:type="gramEnd"/>
      <w:r>
        <w:rPr>
          <w:rFonts w:eastAsia="仿宋_GB2312"/>
          <w:sz w:val="32"/>
          <w:szCs w:val="32"/>
        </w:rPr>
        <w:t>饮用水水源保护区公路、铁路桥面雨</w:t>
      </w:r>
      <w:r>
        <w:rPr>
          <w:rFonts w:eastAsia="仿宋_GB2312"/>
          <w:sz w:val="32"/>
          <w:szCs w:val="32"/>
        </w:rPr>
        <w:lastRenderedPageBreak/>
        <w:t>水收集处置设施与事故环境污染防治措施，设立、维护公路、铁路进入饮用水水源保护区之前的警示标志等。</w:t>
      </w:r>
    </w:p>
    <w:p w:rsidR="00C068E8" w:rsidRDefault="00C068E8" w:rsidP="00C068E8">
      <w:pPr>
        <w:adjustRightInd w:val="0"/>
        <w:snapToGrid w:val="0"/>
        <w:spacing w:beforeLines="100" w:before="312" w:afterLines="100" w:after="312" w:line="576" w:lineRule="exact"/>
        <w:jc w:val="center"/>
        <w:rPr>
          <w:rFonts w:eastAsia="黑体"/>
          <w:sz w:val="32"/>
          <w:szCs w:val="32"/>
        </w:rPr>
      </w:pPr>
      <w:r>
        <w:rPr>
          <w:rFonts w:eastAsia="黑体"/>
          <w:sz w:val="32"/>
          <w:szCs w:val="32"/>
        </w:rPr>
        <w:t xml:space="preserve"> </w:t>
      </w:r>
      <w:r>
        <w:rPr>
          <w:rFonts w:eastAsia="黑体"/>
          <w:sz w:val="32"/>
          <w:szCs w:val="32"/>
        </w:rPr>
        <w:t>第六章</w:t>
      </w:r>
      <w:r>
        <w:rPr>
          <w:rFonts w:eastAsia="黑体"/>
          <w:sz w:val="32"/>
          <w:szCs w:val="32"/>
        </w:rPr>
        <w:t xml:space="preserve">  </w:t>
      </w:r>
      <w:r>
        <w:rPr>
          <w:rFonts w:eastAsia="黑体"/>
          <w:sz w:val="32"/>
          <w:szCs w:val="32"/>
        </w:rPr>
        <w:t>法律责任</w:t>
      </w:r>
    </w:p>
    <w:p w:rsidR="00C068E8" w:rsidRDefault="00C068E8" w:rsidP="00C068E8">
      <w:pPr>
        <w:adjustRightInd w:val="0"/>
        <w:snapToGrid w:val="0"/>
        <w:spacing w:line="576" w:lineRule="exact"/>
        <w:ind w:firstLine="640"/>
        <w:rPr>
          <w:rFonts w:eastAsia="仿宋_GB2312"/>
          <w:sz w:val="32"/>
          <w:szCs w:val="32"/>
        </w:rPr>
      </w:pPr>
      <w:r>
        <w:rPr>
          <w:rFonts w:eastAsia="黑体"/>
          <w:sz w:val="32"/>
          <w:szCs w:val="32"/>
        </w:rPr>
        <w:t>第四十条</w:t>
      </w:r>
      <w:r>
        <w:rPr>
          <w:rFonts w:eastAsia="仿宋_GB2312"/>
          <w:sz w:val="32"/>
          <w:szCs w:val="32"/>
        </w:rPr>
        <w:t xml:space="preserve">  </w:t>
      </w:r>
      <w:r>
        <w:rPr>
          <w:rFonts w:eastAsia="仿宋_GB2312"/>
          <w:sz w:val="32"/>
          <w:szCs w:val="32"/>
        </w:rPr>
        <w:t>饮用水水源一级保护区内已建成的与供水设施和保护水源无关的建设项目，饮用水水源二级保护区内已建成的排放污染物的建设项目，由县区人民政府责令拆除或者关闭</w:t>
      </w:r>
      <w:r>
        <w:rPr>
          <w:rFonts w:eastAsia="仿宋_GB2312" w:hint="eastAsia"/>
          <w:sz w:val="32"/>
          <w:szCs w:val="32"/>
        </w:rPr>
        <w:t>；</w:t>
      </w:r>
      <w:r>
        <w:rPr>
          <w:rFonts w:eastAsia="仿宋_GB2312"/>
          <w:sz w:val="32"/>
          <w:szCs w:val="32"/>
        </w:rPr>
        <w:t>不履行的</w:t>
      </w:r>
      <w:r>
        <w:rPr>
          <w:rFonts w:eastAsia="仿宋_GB2312" w:hint="eastAsia"/>
          <w:sz w:val="32"/>
          <w:szCs w:val="32"/>
        </w:rPr>
        <w:t>，</w:t>
      </w:r>
      <w:r>
        <w:rPr>
          <w:rFonts w:eastAsia="仿宋_GB2312"/>
          <w:sz w:val="32"/>
          <w:szCs w:val="32"/>
        </w:rPr>
        <w:t>依法强制执行。</w:t>
      </w:r>
    </w:p>
    <w:p w:rsidR="00C068E8" w:rsidRDefault="00C068E8" w:rsidP="00C068E8">
      <w:pPr>
        <w:shd w:val="solid" w:color="FFFFFF" w:fill="auto"/>
        <w:autoSpaceDN w:val="0"/>
        <w:spacing w:line="576" w:lineRule="exact"/>
        <w:ind w:firstLineChars="200" w:firstLine="640"/>
        <w:rPr>
          <w:rFonts w:eastAsia="仿宋_GB2312"/>
          <w:sz w:val="32"/>
          <w:szCs w:val="32"/>
        </w:rPr>
      </w:pPr>
      <w:r>
        <w:rPr>
          <w:rFonts w:eastAsia="黑体"/>
          <w:sz w:val="32"/>
          <w:szCs w:val="32"/>
        </w:rPr>
        <w:t>第四十</w:t>
      </w:r>
      <w:r>
        <w:rPr>
          <w:rFonts w:eastAsia="黑体" w:hint="eastAsia"/>
          <w:sz w:val="32"/>
          <w:szCs w:val="32"/>
        </w:rPr>
        <w:t>一</w:t>
      </w:r>
      <w:r>
        <w:rPr>
          <w:rFonts w:eastAsia="黑体"/>
          <w:sz w:val="32"/>
          <w:szCs w:val="32"/>
        </w:rPr>
        <w:t>条</w:t>
      </w:r>
      <w:r>
        <w:rPr>
          <w:rFonts w:eastAsia="仿宋_GB2312"/>
          <w:sz w:val="32"/>
          <w:szCs w:val="32"/>
        </w:rPr>
        <w:t xml:space="preserve">  </w:t>
      </w:r>
      <w:r>
        <w:rPr>
          <w:rFonts w:eastAsia="仿宋_GB2312"/>
          <w:sz w:val="32"/>
          <w:szCs w:val="32"/>
        </w:rPr>
        <w:t>违反本办法第十五条第二项、第三项、第十九条第三项规定，有下列行为之一的，由</w:t>
      </w:r>
      <w:r>
        <w:rPr>
          <w:rFonts w:eastAsia="仿宋_GB2312" w:hint="eastAsia"/>
          <w:sz w:val="32"/>
          <w:szCs w:val="32"/>
        </w:rPr>
        <w:t>市生态环境</w:t>
      </w:r>
      <w:r>
        <w:rPr>
          <w:rFonts w:eastAsia="仿宋_GB2312"/>
          <w:sz w:val="32"/>
          <w:szCs w:val="32"/>
        </w:rPr>
        <w:t>部门责令停止违法行为，限期采取治理措施，消除污染，处以罚款；逾期不采取治理措施的，</w:t>
      </w:r>
      <w:r>
        <w:rPr>
          <w:rFonts w:eastAsia="仿宋_GB2312" w:hint="eastAsia"/>
          <w:sz w:val="32"/>
          <w:szCs w:val="32"/>
        </w:rPr>
        <w:t>市生态环境部门</w:t>
      </w:r>
      <w:r>
        <w:rPr>
          <w:rFonts w:eastAsia="仿宋_GB2312"/>
          <w:sz w:val="32"/>
          <w:szCs w:val="32"/>
        </w:rPr>
        <w:t>可以指定有治理能力的单位代为治理，所需费用由违法责任者承担：</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仿宋_GB2312"/>
          <w:sz w:val="32"/>
          <w:szCs w:val="32"/>
        </w:rPr>
        <w:t>（一）向水域排放、倾倒工业废渣、垃圾、粪便及其他废弃物的；</w:t>
      </w:r>
    </w:p>
    <w:p w:rsidR="00C068E8" w:rsidRDefault="00C068E8" w:rsidP="00C068E8">
      <w:pPr>
        <w:numPr>
          <w:ilvl w:val="0"/>
          <w:numId w:val="1"/>
        </w:numPr>
        <w:adjustRightInd w:val="0"/>
        <w:snapToGrid w:val="0"/>
        <w:spacing w:line="576" w:lineRule="exact"/>
        <w:ind w:firstLine="640"/>
        <w:rPr>
          <w:rFonts w:eastAsia="仿宋_GB2312"/>
          <w:sz w:val="32"/>
          <w:szCs w:val="32"/>
        </w:rPr>
      </w:pPr>
      <w:r>
        <w:rPr>
          <w:rFonts w:eastAsia="仿宋_GB2312"/>
          <w:sz w:val="32"/>
          <w:szCs w:val="32"/>
        </w:rPr>
        <w:t>将含有汞、镉、砷、铬、铅、氰化物、黄磷等的可溶性剧毒废渣向水体排放、倾倒或者直接埋入地下的。</w:t>
      </w:r>
    </w:p>
    <w:p w:rsidR="00C068E8" w:rsidRDefault="00C068E8" w:rsidP="00C068E8">
      <w:pPr>
        <w:adjustRightInd w:val="0"/>
        <w:snapToGrid w:val="0"/>
        <w:spacing w:line="576" w:lineRule="exact"/>
        <w:ind w:firstLine="640"/>
        <w:rPr>
          <w:rFonts w:eastAsia="仿宋_GB2312"/>
          <w:sz w:val="32"/>
          <w:szCs w:val="32"/>
        </w:rPr>
      </w:pPr>
      <w:r>
        <w:rPr>
          <w:rFonts w:eastAsia="黑体"/>
          <w:sz w:val="32"/>
          <w:szCs w:val="32"/>
        </w:rPr>
        <w:t>第四十</w:t>
      </w:r>
      <w:r>
        <w:rPr>
          <w:rFonts w:eastAsia="黑体" w:hint="eastAsia"/>
          <w:sz w:val="32"/>
          <w:szCs w:val="32"/>
        </w:rPr>
        <w:t>二</w:t>
      </w:r>
      <w:r>
        <w:rPr>
          <w:rFonts w:eastAsia="黑体"/>
          <w:sz w:val="32"/>
          <w:szCs w:val="32"/>
        </w:rPr>
        <w:t>条</w:t>
      </w:r>
      <w:r>
        <w:rPr>
          <w:rFonts w:eastAsia="仿宋_GB2312"/>
          <w:sz w:val="32"/>
          <w:szCs w:val="32"/>
        </w:rPr>
        <w:t xml:space="preserve">  </w:t>
      </w:r>
      <w:r>
        <w:rPr>
          <w:rFonts w:eastAsia="仿宋_GB2312"/>
          <w:sz w:val="32"/>
          <w:szCs w:val="32"/>
        </w:rPr>
        <w:t>违反本办法第十</w:t>
      </w:r>
      <w:r>
        <w:rPr>
          <w:rFonts w:eastAsia="仿宋_GB2312" w:hint="eastAsia"/>
          <w:sz w:val="32"/>
          <w:szCs w:val="32"/>
        </w:rPr>
        <w:t>六</w:t>
      </w:r>
      <w:r>
        <w:rPr>
          <w:rFonts w:eastAsia="仿宋_GB2312"/>
          <w:sz w:val="32"/>
          <w:szCs w:val="32"/>
        </w:rPr>
        <w:t>条第</w:t>
      </w:r>
      <w:r>
        <w:rPr>
          <w:rFonts w:eastAsia="仿宋_GB2312" w:hint="eastAsia"/>
          <w:sz w:val="32"/>
          <w:szCs w:val="32"/>
        </w:rPr>
        <w:t>二</w:t>
      </w:r>
      <w:r>
        <w:rPr>
          <w:rFonts w:eastAsia="仿宋_GB2312"/>
          <w:sz w:val="32"/>
          <w:szCs w:val="32"/>
        </w:rPr>
        <w:t>项、第十</w:t>
      </w:r>
      <w:r>
        <w:rPr>
          <w:rFonts w:eastAsia="仿宋_GB2312" w:hint="eastAsia"/>
          <w:sz w:val="32"/>
          <w:szCs w:val="32"/>
        </w:rPr>
        <w:t>七</w:t>
      </w:r>
      <w:r>
        <w:rPr>
          <w:rFonts w:eastAsia="仿宋_GB2312"/>
          <w:sz w:val="32"/>
          <w:szCs w:val="32"/>
        </w:rPr>
        <w:t>条第</w:t>
      </w:r>
      <w:r>
        <w:rPr>
          <w:rFonts w:eastAsia="仿宋_GB2312" w:hint="eastAsia"/>
          <w:sz w:val="32"/>
          <w:szCs w:val="32"/>
        </w:rPr>
        <w:t>二</w:t>
      </w:r>
      <w:r>
        <w:rPr>
          <w:rFonts w:eastAsia="仿宋_GB2312"/>
          <w:sz w:val="32"/>
          <w:szCs w:val="32"/>
        </w:rPr>
        <w:t>项</w:t>
      </w:r>
      <w:r>
        <w:rPr>
          <w:rFonts w:eastAsia="仿宋_GB2312" w:hint="eastAsia"/>
          <w:sz w:val="32"/>
          <w:szCs w:val="32"/>
        </w:rPr>
        <w:t>、第二十条第二项、第二十一条第二项</w:t>
      </w:r>
      <w:r>
        <w:rPr>
          <w:rFonts w:eastAsia="仿宋_GB2312"/>
          <w:sz w:val="32"/>
          <w:szCs w:val="32"/>
        </w:rPr>
        <w:t>规定，在饮用水水源</w:t>
      </w:r>
      <w:r>
        <w:rPr>
          <w:rFonts w:eastAsia="仿宋_GB2312" w:hint="eastAsia"/>
          <w:sz w:val="32"/>
          <w:szCs w:val="32"/>
        </w:rPr>
        <w:t>一级、二级</w:t>
      </w:r>
      <w:r>
        <w:rPr>
          <w:rFonts w:eastAsia="仿宋_GB2312"/>
          <w:sz w:val="32"/>
          <w:szCs w:val="32"/>
        </w:rPr>
        <w:t>保护区内设置排污口的，由县区人民政府责令限期拆除，处十万元以上五十万元以下的罚款；逾期不拆除的，依法强制拆除，</w:t>
      </w:r>
      <w:r>
        <w:rPr>
          <w:rFonts w:eastAsia="仿宋_GB2312"/>
          <w:sz w:val="32"/>
          <w:szCs w:val="32"/>
        </w:rPr>
        <w:lastRenderedPageBreak/>
        <w:t>所需费用由违法责任者承担，处五十万元以上一百万元以下的罚款，并可以责令停产整治。</w:t>
      </w:r>
    </w:p>
    <w:p w:rsidR="00C068E8" w:rsidRDefault="00C068E8" w:rsidP="00C068E8">
      <w:pPr>
        <w:adjustRightInd w:val="0"/>
        <w:snapToGrid w:val="0"/>
        <w:spacing w:line="576" w:lineRule="exact"/>
        <w:ind w:firstLine="660"/>
        <w:rPr>
          <w:rFonts w:eastAsia="仿宋_GB2312"/>
          <w:sz w:val="32"/>
          <w:szCs w:val="32"/>
        </w:rPr>
      </w:pPr>
      <w:r>
        <w:rPr>
          <w:rFonts w:eastAsia="黑体"/>
          <w:sz w:val="32"/>
          <w:szCs w:val="32"/>
        </w:rPr>
        <w:t>第四十</w:t>
      </w:r>
      <w:r>
        <w:rPr>
          <w:rFonts w:eastAsia="黑体" w:hint="eastAsia"/>
          <w:sz w:val="32"/>
          <w:szCs w:val="32"/>
        </w:rPr>
        <w:t>三</w:t>
      </w:r>
      <w:r>
        <w:rPr>
          <w:rFonts w:eastAsia="黑体"/>
          <w:sz w:val="32"/>
          <w:szCs w:val="32"/>
        </w:rPr>
        <w:t>条</w:t>
      </w:r>
      <w:r>
        <w:rPr>
          <w:rFonts w:eastAsia="仿宋_GB2312"/>
          <w:sz w:val="32"/>
          <w:szCs w:val="32"/>
        </w:rPr>
        <w:t xml:space="preserve">  </w:t>
      </w:r>
      <w:r>
        <w:rPr>
          <w:rFonts w:eastAsia="仿宋_GB2312"/>
          <w:sz w:val="32"/>
          <w:szCs w:val="32"/>
        </w:rPr>
        <w:t>违反本办法第十六条第一项、第十七条第一项、第十八条、第二十条第一项、第二十一条第一项、第二十二条第一项规定，有下列行为之一的，由</w:t>
      </w:r>
      <w:r>
        <w:rPr>
          <w:rFonts w:eastAsia="仿宋_GB2312" w:hint="eastAsia"/>
          <w:sz w:val="32"/>
          <w:szCs w:val="32"/>
        </w:rPr>
        <w:t>市生态环境部门</w:t>
      </w:r>
      <w:r>
        <w:rPr>
          <w:rFonts w:eastAsia="仿宋_GB2312"/>
          <w:sz w:val="32"/>
          <w:szCs w:val="32"/>
        </w:rPr>
        <w:t>责令停止违法行为，处十万元以上五十万元以下的罚款</w:t>
      </w:r>
      <w:r>
        <w:rPr>
          <w:rFonts w:eastAsia="仿宋_GB2312" w:hint="eastAsia"/>
          <w:sz w:val="32"/>
          <w:szCs w:val="32"/>
        </w:rPr>
        <w:t>，</w:t>
      </w:r>
      <w:r>
        <w:rPr>
          <w:rFonts w:eastAsia="仿宋_GB2312"/>
          <w:sz w:val="32"/>
          <w:szCs w:val="32"/>
        </w:rPr>
        <w:t>并报经有批准权的人民政府批准，责令拆除或者关闭</w:t>
      </w:r>
      <w:r>
        <w:rPr>
          <w:rFonts w:eastAsia="仿宋_GB2312" w:hint="eastAsia"/>
          <w:sz w:val="32"/>
          <w:szCs w:val="32"/>
        </w:rPr>
        <w:t>；</w:t>
      </w:r>
      <w:r>
        <w:rPr>
          <w:rFonts w:eastAsia="仿宋_GB2312"/>
          <w:sz w:val="32"/>
          <w:szCs w:val="32"/>
        </w:rPr>
        <w:t>不履行的</w:t>
      </w:r>
      <w:r>
        <w:rPr>
          <w:rFonts w:eastAsia="仿宋_GB2312" w:hint="eastAsia"/>
          <w:sz w:val="32"/>
          <w:szCs w:val="32"/>
        </w:rPr>
        <w:t>，</w:t>
      </w:r>
      <w:r>
        <w:rPr>
          <w:rFonts w:eastAsia="仿宋_GB2312"/>
          <w:sz w:val="32"/>
          <w:szCs w:val="32"/>
        </w:rPr>
        <w:t>依法强制执行</w:t>
      </w:r>
      <w:r>
        <w:rPr>
          <w:rFonts w:eastAsia="仿宋_GB2312" w:hint="eastAsia"/>
          <w:sz w:val="32"/>
          <w:szCs w:val="32"/>
        </w:rPr>
        <w:t>：</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仿宋_GB2312"/>
          <w:sz w:val="32"/>
          <w:szCs w:val="32"/>
        </w:rPr>
        <w:t>（一）在饮用水水源一级保护区内新建、改建、扩建与供水设施和保护水源无关的建设项目的；</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仿宋_GB2312"/>
          <w:sz w:val="32"/>
          <w:szCs w:val="32"/>
        </w:rPr>
        <w:t>（二）在饮用水水源二级保护区内新建、改建、扩建排放污染物的建设项目的；</w:t>
      </w:r>
    </w:p>
    <w:p w:rsidR="00C068E8" w:rsidRDefault="00C068E8" w:rsidP="00C068E8">
      <w:pPr>
        <w:numPr>
          <w:ilvl w:val="0"/>
          <w:numId w:val="2"/>
        </w:numPr>
        <w:adjustRightInd w:val="0"/>
        <w:snapToGrid w:val="0"/>
        <w:spacing w:line="576" w:lineRule="exact"/>
        <w:ind w:firstLineChars="200" w:firstLine="640"/>
        <w:rPr>
          <w:rFonts w:eastAsia="仿宋_GB2312"/>
          <w:sz w:val="32"/>
          <w:szCs w:val="32"/>
        </w:rPr>
      </w:pPr>
      <w:r>
        <w:rPr>
          <w:rFonts w:eastAsia="仿宋_GB2312"/>
          <w:sz w:val="32"/>
          <w:szCs w:val="32"/>
        </w:rPr>
        <w:t>在饮用水水源准保护区内新建、扩建对水体污染严重的建设项目，或者改建建设项目增加排污量的。</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hAnsi="黑体"/>
          <w:sz w:val="32"/>
          <w:szCs w:val="32"/>
        </w:rPr>
        <w:t>第四十</w:t>
      </w:r>
      <w:r>
        <w:rPr>
          <w:rFonts w:eastAsia="黑体" w:hAnsi="黑体" w:hint="eastAsia"/>
          <w:sz w:val="32"/>
          <w:szCs w:val="32"/>
        </w:rPr>
        <w:t>四</w:t>
      </w:r>
      <w:r>
        <w:rPr>
          <w:rFonts w:eastAsia="黑体" w:hAnsi="黑体"/>
          <w:sz w:val="32"/>
          <w:szCs w:val="32"/>
        </w:rPr>
        <w:t>条</w:t>
      </w:r>
      <w:r>
        <w:rPr>
          <w:rFonts w:eastAsia="仿宋_GB2312"/>
          <w:sz w:val="32"/>
          <w:szCs w:val="32"/>
        </w:rPr>
        <w:t xml:space="preserve">  </w:t>
      </w:r>
      <w:r>
        <w:rPr>
          <w:rFonts w:eastAsia="仿宋_GB2312"/>
          <w:sz w:val="32"/>
          <w:szCs w:val="32"/>
        </w:rPr>
        <w:t>违反本办法第十六条第</w:t>
      </w:r>
      <w:r>
        <w:rPr>
          <w:rFonts w:eastAsia="仿宋_GB2312" w:hint="eastAsia"/>
          <w:sz w:val="32"/>
          <w:szCs w:val="32"/>
        </w:rPr>
        <w:t>六</w:t>
      </w:r>
      <w:r>
        <w:rPr>
          <w:rFonts w:eastAsia="仿宋_GB2312"/>
          <w:sz w:val="32"/>
          <w:szCs w:val="32"/>
        </w:rPr>
        <w:t>项、第二十条第</w:t>
      </w:r>
      <w:r>
        <w:rPr>
          <w:rFonts w:eastAsia="仿宋_GB2312" w:hint="eastAsia"/>
          <w:sz w:val="32"/>
          <w:szCs w:val="32"/>
        </w:rPr>
        <w:t>八</w:t>
      </w:r>
      <w:r>
        <w:rPr>
          <w:rFonts w:eastAsia="仿宋_GB2312"/>
          <w:sz w:val="32"/>
          <w:szCs w:val="32"/>
        </w:rPr>
        <w:t>项规定，在饮用水水源一级保护区内从事网箱养殖、组织进行旅游、垂钓或者其他可能污染饮用水水体活动的，由</w:t>
      </w:r>
      <w:r>
        <w:rPr>
          <w:rFonts w:eastAsia="仿宋_GB2312" w:hint="eastAsia"/>
          <w:sz w:val="32"/>
          <w:szCs w:val="32"/>
        </w:rPr>
        <w:t>市生态环境部门</w:t>
      </w:r>
      <w:r>
        <w:rPr>
          <w:rFonts w:eastAsia="仿宋_GB2312"/>
          <w:sz w:val="32"/>
          <w:szCs w:val="32"/>
        </w:rPr>
        <w:t>责令停止违法行为，处二万元以上十万元以下的罚款。</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个人在饮用水水源一级保护区内游泳、垂钓或者从事其他可能污染饮用水水体的活动的，由</w:t>
      </w:r>
      <w:r>
        <w:rPr>
          <w:rFonts w:eastAsia="仿宋_GB2312" w:hint="eastAsia"/>
          <w:sz w:val="32"/>
          <w:szCs w:val="32"/>
        </w:rPr>
        <w:t>市生态环境部门</w:t>
      </w:r>
      <w:r>
        <w:rPr>
          <w:rFonts w:eastAsia="仿宋_GB2312"/>
          <w:sz w:val="32"/>
          <w:szCs w:val="32"/>
        </w:rPr>
        <w:t>责令停止违法行为，可以处五百元以下的罚款。</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第四十</w:t>
      </w:r>
      <w:r>
        <w:rPr>
          <w:rFonts w:eastAsia="黑体" w:hint="eastAsia"/>
          <w:sz w:val="32"/>
          <w:szCs w:val="32"/>
        </w:rPr>
        <w:t>五</w:t>
      </w:r>
      <w:r>
        <w:rPr>
          <w:rFonts w:eastAsia="黑体"/>
          <w:sz w:val="32"/>
          <w:szCs w:val="32"/>
        </w:rPr>
        <w:t>条</w:t>
      </w:r>
      <w:r>
        <w:rPr>
          <w:rFonts w:eastAsia="黑体"/>
          <w:sz w:val="32"/>
          <w:szCs w:val="32"/>
        </w:rPr>
        <w:t xml:space="preserve"> </w:t>
      </w:r>
      <w:r>
        <w:rPr>
          <w:rFonts w:eastAsia="仿宋_GB2312"/>
          <w:sz w:val="32"/>
          <w:szCs w:val="32"/>
        </w:rPr>
        <w:t xml:space="preserve"> </w:t>
      </w:r>
      <w:r>
        <w:rPr>
          <w:rFonts w:eastAsia="仿宋_GB2312"/>
          <w:sz w:val="32"/>
          <w:szCs w:val="32"/>
        </w:rPr>
        <w:t>违反本办法第十九条第一项规定，利用渗坑、</w:t>
      </w:r>
      <w:r>
        <w:rPr>
          <w:rFonts w:eastAsia="仿宋_GB2312"/>
          <w:sz w:val="32"/>
          <w:szCs w:val="32"/>
        </w:rPr>
        <w:lastRenderedPageBreak/>
        <w:t>渗井、裂隙、溶洞，私设暗管等方式排放水污染物的，由</w:t>
      </w:r>
      <w:r>
        <w:rPr>
          <w:rFonts w:eastAsia="仿宋_GB2312" w:hint="eastAsia"/>
          <w:sz w:val="32"/>
          <w:szCs w:val="32"/>
        </w:rPr>
        <w:t>市生态环境部门</w:t>
      </w:r>
      <w:r>
        <w:rPr>
          <w:rFonts w:eastAsia="仿宋_GB2312"/>
          <w:sz w:val="32"/>
          <w:szCs w:val="32"/>
        </w:rPr>
        <w:t>责令改正或者责令限制生产、停产整治，并处十万元以上一百万元以下的罚款；情节严重的，报经有批准权的人民政府批准，责令停业、关闭。</w:t>
      </w:r>
    </w:p>
    <w:p w:rsidR="00C068E8" w:rsidRDefault="00C068E8" w:rsidP="00C068E8">
      <w:pPr>
        <w:adjustRightInd w:val="0"/>
        <w:snapToGrid w:val="0"/>
        <w:spacing w:line="576" w:lineRule="exact"/>
        <w:ind w:firstLineChars="200" w:firstLine="640"/>
        <w:rPr>
          <w:rFonts w:eastAsia="仿宋_GB2312"/>
          <w:sz w:val="32"/>
          <w:szCs w:val="32"/>
        </w:rPr>
      </w:pPr>
      <w:r>
        <w:rPr>
          <w:rFonts w:eastAsia="黑体"/>
          <w:sz w:val="32"/>
          <w:szCs w:val="32"/>
        </w:rPr>
        <w:t>第四十</w:t>
      </w:r>
      <w:r>
        <w:rPr>
          <w:rFonts w:eastAsia="黑体" w:hint="eastAsia"/>
          <w:sz w:val="32"/>
          <w:szCs w:val="32"/>
        </w:rPr>
        <w:t>六</w:t>
      </w:r>
      <w:r>
        <w:rPr>
          <w:rFonts w:eastAsia="黑体"/>
          <w:sz w:val="32"/>
          <w:szCs w:val="32"/>
        </w:rPr>
        <w:t>条</w:t>
      </w:r>
      <w:r>
        <w:rPr>
          <w:rFonts w:eastAsia="黑体"/>
          <w:sz w:val="32"/>
          <w:szCs w:val="32"/>
        </w:rPr>
        <w:t xml:space="preserve">  </w:t>
      </w:r>
      <w:r>
        <w:rPr>
          <w:rFonts w:eastAsia="仿宋_GB2312"/>
          <w:sz w:val="32"/>
          <w:szCs w:val="32"/>
        </w:rPr>
        <w:t>违反本办法第三十条规定，饮用水供水单位供水水质不符合国家规定标准的，由供水单位主管部门责令改正，处二万元以上二十万元以下的罚款；情节严重的，报经有批准权的人民政府批准，可以责令停业整顿；对直接负责的主管人员和其他直接责任人员依法给予处分。</w:t>
      </w:r>
    </w:p>
    <w:p w:rsidR="00C068E8" w:rsidRDefault="00C068E8" w:rsidP="00C068E8">
      <w:pPr>
        <w:adjustRightInd w:val="0"/>
        <w:snapToGrid w:val="0"/>
        <w:spacing w:line="576" w:lineRule="exact"/>
        <w:ind w:firstLineChars="200" w:firstLine="640"/>
        <w:rPr>
          <w:rFonts w:eastAsia="仿宋_GB2312"/>
          <w:spacing w:val="4"/>
          <w:sz w:val="32"/>
          <w:szCs w:val="32"/>
        </w:rPr>
      </w:pPr>
      <w:r>
        <w:rPr>
          <w:rFonts w:eastAsia="黑体"/>
          <w:sz w:val="32"/>
          <w:szCs w:val="32"/>
        </w:rPr>
        <w:t>第四十</w:t>
      </w:r>
      <w:r>
        <w:rPr>
          <w:rFonts w:eastAsia="黑体" w:hint="eastAsia"/>
          <w:sz w:val="32"/>
          <w:szCs w:val="32"/>
        </w:rPr>
        <w:t>七</w:t>
      </w:r>
      <w:r>
        <w:rPr>
          <w:rFonts w:eastAsia="黑体"/>
          <w:sz w:val="32"/>
          <w:szCs w:val="32"/>
        </w:rPr>
        <w:t>条</w:t>
      </w:r>
      <w:r>
        <w:rPr>
          <w:rFonts w:eastAsia="仿宋_GB2312"/>
          <w:sz w:val="32"/>
          <w:szCs w:val="32"/>
        </w:rPr>
        <w:t xml:space="preserve">  </w:t>
      </w:r>
      <w:r>
        <w:rPr>
          <w:rFonts w:eastAsia="仿宋_GB2312"/>
          <w:sz w:val="32"/>
          <w:szCs w:val="32"/>
        </w:rPr>
        <w:t>饮用水水源保护区环境保护管理相关部门不履行或者不正确履</w:t>
      </w:r>
      <w:r>
        <w:rPr>
          <w:rFonts w:eastAsia="仿宋_GB2312"/>
          <w:spacing w:val="4"/>
          <w:sz w:val="32"/>
          <w:szCs w:val="32"/>
        </w:rPr>
        <w:t>行保护管理职责的，由上级主管机关或者监察机关责令改正，对负责人、直接责任人依据相关规定给予行政处分。</w:t>
      </w:r>
    </w:p>
    <w:p w:rsidR="00C068E8" w:rsidRDefault="00C068E8" w:rsidP="00C068E8">
      <w:pPr>
        <w:adjustRightInd w:val="0"/>
        <w:snapToGrid w:val="0"/>
        <w:spacing w:line="576" w:lineRule="exact"/>
        <w:ind w:firstLineChars="200" w:firstLine="640"/>
        <w:rPr>
          <w:rFonts w:eastAsia="仿宋_GB2312"/>
          <w:sz w:val="32"/>
          <w:szCs w:val="32"/>
        </w:rPr>
      </w:pPr>
      <w:r>
        <w:rPr>
          <w:rFonts w:eastAsia="仿宋_GB2312"/>
          <w:sz w:val="32"/>
          <w:szCs w:val="32"/>
        </w:rPr>
        <w:t>负有饮用水水源保护区环境保护管理职责的工作人员玩忽职守、滥用职权、徇私舞弊的，由所在单位或者上级主管机关给予行政处分；构成犯罪的，依法追究刑事责任。</w:t>
      </w:r>
    </w:p>
    <w:p w:rsidR="00C068E8" w:rsidRDefault="00C068E8" w:rsidP="00C068E8">
      <w:pPr>
        <w:adjustRightInd w:val="0"/>
        <w:snapToGrid w:val="0"/>
        <w:spacing w:beforeLines="100" w:before="312" w:afterLines="100" w:after="312" w:line="576" w:lineRule="exact"/>
        <w:jc w:val="center"/>
        <w:rPr>
          <w:rFonts w:eastAsia="黑体"/>
          <w:sz w:val="32"/>
          <w:szCs w:val="32"/>
        </w:rPr>
      </w:pPr>
      <w:r>
        <w:rPr>
          <w:rFonts w:eastAsia="黑体"/>
          <w:sz w:val="32"/>
          <w:szCs w:val="32"/>
        </w:rPr>
        <w:t>第七章</w:t>
      </w:r>
      <w:r>
        <w:rPr>
          <w:rFonts w:eastAsia="黑体"/>
          <w:sz w:val="32"/>
          <w:szCs w:val="32"/>
        </w:rPr>
        <w:t xml:space="preserve">  </w:t>
      </w:r>
      <w:r>
        <w:rPr>
          <w:rFonts w:eastAsia="黑体"/>
          <w:sz w:val="32"/>
          <w:szCs w:val="32"/>
        </w:rPr>
        <w:t>附</w:t>
      </w:r>
      <w:r>
        <w:rPr>
          <w:rFonts w:eastAsia="黑体"/>
          <w:sz w:val="32"/>
          <w:szCs w:val="32"/>
        </w:rPr>
        <w:t xml:space="preserve">  </w:t>
      </w:r>
      <w:r>
        <w:rPr>
          <w:rFonts w:eastAsia="黑体"/>
          <w:sz w:val="32"/>
          <w:szCs w:val="32"/>
        </w:rPr>
        <w:t>则</w:t>
      </w:r>
    </w:p>
    <w:p w:rsidR="00C068E8" w:rsidRDefault="00C068E8" w:rsidP="00C068E8">
      <w:pPr>
        <w:adjustRightInd w:val="0"/>
        <w:snapToGrid w:val="0"/>
        <w:spacing w:line="576" w:lineRule="exact"/>
        <w:rPr>
          <w:rFonts w:eastAsia="仿宋_GB2312"/>
          <w:sz w:val="32"/>
          <w:szCs w:val="32"/>
        </w:rPr>
      </w:pPr>
      <w:r>
        <w:rPr>
          <w:rFonts w:eastAsia="仿宋_GB2312"/>
          <w:sz w:val="32"/>
          <w:szCs w:val="32"/>
        </w:rPr>
        <w:t xml:space="preserve">    </w:t>
      </w:r>
      <w:r>
        <w:rPr>
          <w:rFonts w:eastAsia="黑体"/>
          <w:sz w:val="32"/>
          <w:szCs w:val="32"/>
        </w:rPr>
        <w:t>第四十</w:t>
      </w:r>
      <w:r>
        <w:rPr>
          <w:rFonts w:eastAsia="黑体" w:hint="eastAsia"/>
          <w:sz w:val="32"/>
          <w:szCs w:val="32"/>
        </w:rPr>
        <w:t>八</w:t>
      </w:r>
      <w:r>
        <w:rPr>
          <w:rFonts w:eastAsia="黑体"/>
          <w:sz w:val="32"/>
          <w:szCs w:val="32"/>
        </w:rPr>
        <w:t>条</w:t>
      </w:r>
      <w:r>
        <w:rPr>
          <w:rFonts w:eastAsia="仿宋_GB2312"/>
          <w:sz w:val="32"/>
          <w:szCs w:val="32"/>
        </w:rPr>
        <w:t xml:space="preserve">  </w:t>
      </w:r>
      <w:r>
        <w:rPr>
          <w:rFonts w:eastAsia="仿宋_GB2312"/>
          <w:sz w:val="32"/>
          <w:szCs w:val="32"/>
        </w:rPr>
        <w:t>本办法未规定事项，依照有关法律、法规、规章规定执行。</w:t>
      </w:r>
    </w:p>
    <w:p w:rsidR="00C068E8" w:rsidRDefault="00C068E8" w:rsidP="00C068E8">
      <w:pPr>
        <w:adjustRightInd w:val="0"/>
        <w:snapToGrid w:val="0"/>
        <w:spacing w:line="576" w:lineRule="exact"/>
        <w:ind w:firstLine="640"/>
        <w:rPr>
          <w:rFonts w:eastAsia="仿宋_GB2312"/>
          <w:sz w:val="32"/>
          <w:szCs w:val="32"/>
        </w:rPr>
      </w:pPr>
      <w:r>
        <w:rPr>
          <w:rFonts w:eastAsia="黑体"/>
          <w:sz w:val="32"/>
          <w:szCs w:val="32"/>
        </w:rPr>
        <w:t>第</w:t>
      </w:r>
      <w:r>
        <w:rPr>
          <w:rFonts w:eastAsia="黑体" w:hint="eastAsia"/>
          <w:sz w:val="32"/>
          <w:szCs w:val="32"/>
        </w:rPr>
        <w:t>四十九</w:t>
      </w:r>
      <w:r>
        <w:rPr>
          <w:rFonts w:eastAsia="黑体"/>
          <w:sz w:val="32"/>
          <w:szCs w:val="32"/>
        </w:rPr>
        <w:t>条</w:t>
      </w:r>
      <w:r>
        <w:rPr>
          <w:rFonts w:eastAsia="仿宋_GB2312"/>
          <w:sz w:val="32"/>
          <w:szCs w:val="32"/>
        </w:rPr>
        <w:t xml:space="preserve">  </w:t>
      </w:r>
      <w:r>
        <w:rPr>
          <w:rFonts w:eastAsia="仿宋_GB2312"/>
          <w:sz w:val="32"/>
          <w:szCs w:val="32"/>
        </w:rPr>
        <w:t>本办法自</w:t>
      </w:r>
      <w:r>
        <w:rPr>
          <w:rFonts w:eastAsia="仿宋_GB2312"/>
          <w:sz w:val="32"/>
          <w:szCs w:val="32"/>
        </w:rPr>
        <w:t>20</w:t>
      </w:r>
      <w:r>
        <w:rPr>
          <w:rFonts w:eastAsia="仿宋_GB2312" w:hint="eastAsia"/>
          <w:sz w:val="32"/>
          <w:szCs w:val="32"/>
        </w:rPr>
        <w:t>20</w:t>
      </w:r>
      <w:r>
        <w:rPr>
          <w:rFonts w:eastAsia="仿宋_GB2312"/>
          <w:sz w:val="32"/>
          <w:szCs w:val="32"/>
        </w:rPr>
        <w:t>年</w:t>
      </w:r>
      <w:r>
        <w:rPr>
          <w:rFonts w:eastAsia="仿宋_GB2312" w:hint="eastAsia"/>
          <w:sz w:val="32"/>
          <w:szCs w:val="32"/>
        </w:rPr>
        <w:t>5</w:t>
      </w:r>
      <w:r>
        <w:rPr>
          <w:rFonts w:eastAsia="仿宋_GB2312"/>
          <w:sz w:val="32"/>
          <w:szCs w:val="32"/>
        </w:rPr>
        <w:t>月</w:t>
      </w:r>
      <w:r>
        <w:rPr>
          <w:rFonts w:eastAsia="仿宋_GB2312" w:hint="eastAsia"/>
          <w:sz w:val="32"/>
          <w:szCs w:val="32"/>
        </w:rPr>
        <w:t>1</w:t>
      </w:r>
      <w:r>
        <w:rPr>
          <w:rFonts w:eastAsia="仿宋_GB2312"/>
          <w:sz w:val="32"/>
          <w:szCs w:val="32"/>
        </w:rPr>
        <w:t>日起施行。</w:t>
      </w:r>
      <w:r>
        <w:rPr>
          <w:rFonts w:eastAsia="仿宋_GB2312" w:hint="eastAsia"/>
          <w:sz w:val="32"/>
          <w:szCs w:val="32"/>
        </w:rPr>
        <w:t>2018</w:t>
      </w:r>
      <w:r>
        <w:rPr>
          <w:rFonts w:eastAsia="仿宋_GB2312" w:hint="eastAsia"/>
          <w:sz w:val="32"/>
          <w:szCs w:val="32"/>
        </w:rPr>
        <w:t>年</w:t>
      </w:r>
      <w:r>
        <w:rPr>
          <w:rFonts w:eastAsia="仿宋_GB2312" w:hint="eastAsia"/>
          <w:sz w:val="32"/>
          <w:szCs w:val="32"/>
        </w:rPr>
        <w:t>3</w:t>
      </w:r>
      <w:r>
        <w:rPr>
          <w:rFonts w:eastAsia="仿宋_GB2312" w:hint="eastAsia"/>
          <w:sz w:val="32"/>
          <w:szCs w:val="32"/>
        </w:rPr>
        <w:lastRenderedPageBreak/>
        <w:t>月</w:t>
      </w:r>
      <w:r>
        <w:rPr>
          <w:rFonts w:eastAsia="仿宋_GB2312" w:hint="eastAsia"/>
          <w:sz w:val="32"/>
          <w:szCs w:val="32"/>
        </w:rPr>
        <w:t>19</w:t>
      </w:r>
      <w:r>
        <w:rPr>
          <w:rFonts w:eastAsia="仿宋_GB2312" w:hint="eastAsia"/>
          <w:sz w:val="32"/>
          <w:szCs w:val="32"/>
        </w:rPr>
        <w:t>日天水市人民政府第</w:t>
      </w:r>
      <w:r>
        <w:rPr>
          <w:rFonts w:eastAsia="仿宋_GB2312" w:hint="eastAsia"/>
          <w:sz w:val="32"/>
          <w:szCs w:val="32"/>
        </w:rPr>
        <w:t>2</w:t>
      </w:r>
      <w:r>
        <w:rPr>
          <w:rFonts w:eastAsia="仿宋_GB2312" w:hint="eastAsia"/>
          <w:sz w:val="32"/>
          <w:szCs w:val="32"/>
        </w:rPr>
        <w:t>号令《天水市饮用水水源保护区环境保护管理办法》同时废止。</w:t>
      </w:r>
    </w:p>
    <w:p w:rsidR="00C068E8" w:rsidRDefault="00C068E8" w:rsidP="00C068E8">
      <w:pPr>
        <w:widowControl/>
        <w:shd w:val="clear" w:color="auto" w:fill="FFFFFF"/>
        <w:autoSpaceDE w:val="0"/>
        <w:spacing w:line="576" w:lineRule="exact"/>
        <w:rPr>
          <w:rFonts w:ascii="Times New Roman" w:eastAsia="仿宋_GB2312" w:hAnsi="Times New Roman" w:cs="仿宋_GB2312"/>
          <w:color w:val="333333"/>
          <w:sz w:val="32"/>
          <w:szCs w:val="32"/>
          <w:shd w:val="clear" w:color="070000" w:fill="FFFFFF"/>
        </w:rPr>
      </w:pPr>
    </w:p>
    <w:p w:rsidR="00C068E8" w:rsidRDefault="00C068E8" w:rsidP="00C068E8">
      <w:pPr>
        <w:pStyle w:val="a6"/>
        <w:widowControl/>
        <w:spacing w:line="640" w:lineRule="exact"/>
        <w:jc w:val="both"/>
        <w:rPr>
          <w:rFonts w:ascii="Noto Sans Ugaritic" w:eastAsia="宋体" w:hAnsi="Noto Sans Ugaritic" w:cs="Noto Sans Ugaritic"/>
          <w:kern w:val="0"/>
          <w:sz w:val="44"/>
          <w:szCs w:val="44"/>
        </w:rPr>
      </w:pPr>
    </w:p>
    <w:p w:rsidR="00623128" w:rsidRPr="00C068E8" w:rsidRDefault="00623128"/>
    <w:sectPr w:rsidR="00623128" w:rsidRPr="00C068E8">
      <w:headerReference w:type="default" r:id="rId8"/>
      <w:footerReference w:type="default" r:id="rId9"/>
      <w:pgSz w:w="11906" w:h="16838"/>
      <w:pgMar w:top="1962" w:right="1474" w:bottom="1848" w:left="1587"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27B5" w:rsidRDefault="00AC27B5" w:rsidP="00C068E8">
      <w:r>
        <w:separator/>
      </w:r>
    </w:p>
  </w:endnote>
  <w:endnote w:type="continuationSeparator" w:id="0">
    <w:p w:rsidR="00AC27B5" w:rsidRDefault="00AC27B5" w:rsidP="00C06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宋体"/>
    <w:charset w:val="86"/>
    <w:family w:val="auto"/>
    <w:pitch w:val="default"/>
    <w:sig w:usb0="00000000" w:usb1="00000000" w:usb2="00000000" w:usb3="00000000" w:csb0="00040000" w:csb1="00000000"/>
  </w:font>
  <w:font w:name="方正小标宋_GBK">
    <w:altName w:val="微软雅黑"/>
    <w:charset w:val="86"/>
    <w:family w:val="auto"/>
    <w:pitch w:val="default"/>
    <w:sig w:usb0="00000000" w:usb1="00000000" w:usb2="00000000" w:usb3="00000000" w:csb0="00040000" w:csb1="00000000"/>
  </w:font>
  <w:font w:name="Noto Sans Ugaritic">
    <w:altName w:val="Segoe Print"/>
    <w:charset w:val="00"/>
    <w:family w:val="auto"/>
    <w:pitch w:val="default"/>
    <w:sig w:usb0="00000000" w:usb1="00000000" w:usb2="00000000" w:usb3="00000080" w:csb0="00000001"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8E8" w:rsidRDefault="00C068E8" w:rsidP="00C068E8">
    <w:pPr>
      <w:pStyle w:val="a4"/>
      <w:pBdr>
        <w:bottom w:val="none" w:sz="0" w:space="0" w:color="auto"/>
      </w:pBdr>
      <w:ind w:leftChars="2280" w:left="4788" w:firstLineChars="2000" w:firstLine="6400"/>
      <w:rPr>
        <w:rFonts w:eastAsia="仿宋"/>
        <w:sz w:val="32"/>
        <w:szCs w:val="48"/>
      </w:rPr>
    </w:pPr>
    <w:r>
      <w:rPr>
        <w:noProof/>
        <w:sz w:val="32"/>
        <w:szCs w:val="24"/>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476250" cy="238125"/>
              <wp:effectExtent l="0" t="0" r="0" b="0"/>
              <wp:wrapNone/>
              <wp:docPr id="10" name="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68E8" w:rsidRDefault="00C068E8" w:rsidP="00C068E8">
                          <w:pPr>
                            <w:pStyle w:val="a5"/>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noProof/>
                              <w:sz w:val="28"/>
                              <w:szCs w:val="28"/>
                            </w:rPr>
                            <w:t>- 1 -</w:t>
                          </w:r>
                          <w:r>
                            <w:rPr>
                              <w:rFonts w:ascii="宋体" w:hAnsi="宋体" w:cs="宋体"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矩形 10" o:spid="_x0000_s1026" style="position:absolute;left:0;text-align:left;margin-left:-13.7pt;margin-top:0;width:37.5pt;height:18.75pt;z-index:251666432;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" filled="f" stroked="f">
              <v:textbox style="mso-fit-shape-to-text:t" inset="0,0,0,0">
                <w:txbxContent>
                  <w:p w:rsidR="00C068E8" w:rsidRDefault="00C068E8" w:rsidP="00C068E8">
                    <w:pPr>
                      <w:pStyle w:val="a5"/>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noProof/>
                        <w:sz w:val="28"/>
                        <w:szCs w:val="28"/>
                      </w:rPr>
                      <w:t>- 1 -</w:t>
                    </w:r>
                    <w:r>
                      <w:rPr>
                        <w:rFonts w:ascii="宋体" w:hAnsi="宋体" w:cs="宋体" w:hint="eastAsia"/>
                        <w:sz w:val="28"/>
                        <w:szCs w:val="28"/>
                      </w:rPr>
                      <w:fldChar w:fldCharType="end"/>
                    </w:r>
                  </w:p>
                </w:txbxContent>
              </v:textbox>
              <w10:wrap anchorx="margin"/>
            </v:rect>
          </w:pict>
        </mc:Fallback>
      </mc:AlternateContent>
    </w:r>
    <w:r>
      <w:rPr>
        <w:rFonts w:eastAsia="仿宋" w:hint="eastAsia"/>
        <w:sz w:val="32"/>
        <w:szCs w:val="48"/>
      </w:rPr>
      <w:t xml:space="preserve">  </w:t>
    </w:r>
  </w:p>
  <w:p w:rsidR="00C068E8" w:rsidRDefault="00C068E8" w:rsidP="00C068E8">
    <w:pPr>
      <w:pStyle w:val="a4"/>
      <w:pBdr>
        <w:bottom w:val="none" w:sz="0" w:space="0" w:color="auto"/>
      </w:pBdr>
      <w:wordWrap w:val="0"/>
      <w:ind w:leftChars="2280" w:left="4788" w:firstLineChars="2000" w:firstLine="6400"/>
      <w:jc w:val="right"/>
      <w:rPr>
        <w:rFonts w:ascii="宋体" w:hAnsi="宋体" w:cs="宋体"/>
        <w:b/>
        <w:bCs/>
        <w:color w:val="005192"/>
        <w:sz w:val="28"/>
        <w:szCs w:val="44"/>
      </w:rPr>
    </w:pPr>
    <w:r>
      <w:rPr>
        <w:noProof/>
        <w:sz w:val="32"/>
        <w:szCs w:val="24"/>
      </w:rPr>
      <mc:AlternateContent>
        <mc:Choice Requires="wps">
          <w:drawing>
            <wp:anchor distT="0" distB="0" distL="114300" distR="114300" simplePos="0" relativeHeight="251665408" behindDoc="0" locked="0" layoutInCell="1" allowOverlap="1" wp14:anchorId="5C17C085" wp14:editId="16418A42">
              <wp:simplePos x="0" y="0"/>
              <wp:positionH relativeFrom="column">
                <wp:posOffset>0</wp:posOffset>
              </wp:positionH>
              <wp:positionV relativeFrom="paragraph">
                <wp:posOffset>74295</wp:posOffset>
              </wp:positionV>
              <wp:extent cx="5616575" cy="1905"/>
              <wp:effectExtent l="19050" t="17145" r="12700" b="1905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575" cy="1905"/>
                      </a:xfrm>
                      <a:prstGeom prst="line">
                        <a:avLst/>
                      </a:prstGeom>
                      <a:noFill/>
                      <a:ln w="22225">
                        <a:solidFill>
                          <a:srgbClr val="00519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9"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" strokecolor="#005192" strokeweight="1.75pt"/>
          </w:pict>
        </mc:Fallback>
      </mc:AlternateContent>
    </w:r>
    <w:r>
      <w:rPr>
        <w:rFonts w:eastAsia="仿宋" w:hint="eastAsia"/>
        <w:sz w:val="32"/>
        <w:szCs w:val="48"/>
      </w:rPr>
      <w:t>X</w:t>
    </w:r>
    <w:r>
      <w:rPr>
        <w:rFonts w:ascii="宋体" w:hAnsi="宋体" w:cs="宋体" w:hint="eastAsia"/>
        <w:b/>
        <w:bCs/>
        <w:color w:val="005192"/>
        <w:sz w:val="28"/>
        <w:szCs w:val="44"/>
      </w:rPr>
      <w:t xml:space="preserve">天水市人民政府发布     </w:t>
    </w:r>
  </w:p>
  <w:p w:rsidR="00C068E8" w:rsidRDefault="00C068E8" w:rsidP="00C068E8">
    <w:pPr>
      <w:pStyle w:val="a4"/>
      <w:pBdr>
        <w:bottom w:val="none" w:sz="0" w:space="0" w:color="auto"/>
      </w:pBdr>
      <w:wordWrap w:val="0"/>
      <w:ind w:leftChars="2280" w:left="4788" w:firstLineChars="2000" w:firstLine="5622"/>
      <w:jc w:val="right"/>
      <w:rPr>
        <w:rFonts w:ascii="宋体" w:hAnsi="宋体" w:cs="宋体"/>
        <w:b/>
        <w:bCs/>
        <w:color w:val="005192"/>
        <w:sz w:val="28"/>
        <w:szCs w:val="44"/>
      </w:rPr>
    </w:pPr>
  </w:p>
  <w:p w:rsidR="00524A3B" w:rsidRPr="00C068E8" w:rsidRDefault="00AC27B5" w:rsidP="00C068E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27B5" w:rsidRDefault="00AC27B5" w:rsidP="00C068E8">
      <w:r>
        <w:separator/>
      </w:r>
    </w:p>
  </w:footnote>
  <w:footnote w:type="continuationSeparator" w:id="0">
    <w:p w:rsidR="00AC27B5" w:rsidRDefault="00AC27B5" w:rsidP="00C068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8E8" w:rsidRPr="00C068E8" w:rsidRDefault="00C068E8" w:rsidP="00C068E8">
    <w:pPr>
      <w:tabs>
        <w:tab w:val="center" w:pos="4153"/>
        <w:tab w:val="right" w:pos="8306"/>
      </w:tabs>
      <w:snapToGrid w:val="0"/>
      <w:textAlignment w:val="center"/>
      <w:rPr>
        <w:rFonts w:ascii="宋体" w:hAnsi="宋体" w:cs="宋体"/>
        <w:b/>
        <w:bCs/>
        <w:color w:val="005192"/>
        <w:sz w:val="32"/>
      </w:rPr>
    </w:pPr>
    <w:r>
      <w:rPr>
        <w:rFonts w:ascii="宋体" w:hAnsi="宋体" w:cs="宋体"/>
        <w:b/>
        <w:bCs/>
        <w:noProof/>
        <w:color w:val="005192"/>
        <w:sz w:val="32"/>
      </w:rPr>
      <mc:AlternateContent>
        <mc:Choice Requires="wps">
          <w:drawing>
            <wp:anchor distT="0" distB="0" distL="114300" distR="114300" simplePos="0" relativeHeight="251663360" behindDoc="0" locked="0" layoutInCell="1" allowOverlap="1">
              <wp:simplePos x="0" y="0"/>
              <wp:positionH relativeFrom="column">
                <wp:posOffset>-3810</wp:posOffset>
              </wp:positionH>
              <wp:positionV relativeFrom="paragraph">
                <wp:posOffset>690245</wp:posOffset>
              </wp:positionV>
              <wp:extent cx="5620385" cy="635"/>
              <wp:effectExtent l="15240" t="13970" r="12700" b="1397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0385" cy="635"/>
                      </a:xfrm>
                      <a:prstGeom prst="line">
                        <a:avLst/>
                      </a:prstGeom>
                      <a:noFill/>
                      <a:ln w="22225">
                        <a:solidFill>
                          <a:srgbClr val="00519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8"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54.35pt" to="442.25pt,5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" strokecolor="#005192" strokeweight="1.75pt"/>
          </w:pict>
        </mc:Fallback>
      </mc:AlternateContent>
    </w:r>
  </w:p>
  <w:p w:rsidR="00C068E8" w:rsidRPr="00C068E8" w:rsidRDefault="00C068E8" w:rsidP="00C068E8">
    <w:pPr>
      <w:tabs>
        <w:tab w:val="center" w:pos="4153"/>
        <w:tab w:val="right" w:pos="8306"/>
      </w:tabs>
      <w:snapToGrid w:val="0"/>
      <w:textAlignment w:val="center"/>
      <w:rPr>
        <w:rFonts w:ascii="宋体" w:hAnsi="宋体" w:cs="宋体"/>
        <w:b/>
        <w:bCs/>
        <w:color w:val="005192"/>
        <w:sz w:val="32"/>
        <w:szCs w:val="32"/>
      </w:rPr>
    </w:pPr>
    <w:r>
      <w:rPr>
        <w:rFonts w:ascii="宋体" w:hAnsi="宋体" w:cs="宋体"/>
        <w:b/>
        <w:bCs/>
        <w:noProof/>
        <w:color w:val="005192"/>
        <w:sz w:val="32"/>
      </w:rPr>
      <w:drawing>
        <wp:inline distT="0" distB="0" distL="0" distR="0" wp14:anchorId="3C36FD8F" wp14:editId="24AA1D4F">
          <wp:extent cx="309880" cy="30988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309880"/>
                  </a:xfrm>
                  <a:prstGeom prst="rect">
                    <a:avLst/>
                  </a:prstGeom>
                  <a:noFill/>
                  <a:ln>
                    <a:noFill/>
                  </a:ln>
                </pic:spPr>
              </pic:pic>
            </a:graphicData>
          </a:graphic>
        </wp:inline>
      </w:drawing>
    </w:r>
    <w:r w:rsidRPr="00C068E8">
      <w:rPr>
        <w:rFonts w:ascii="宋体" w:hAnsi="宋体" w:cs="宋体" w:hint="eastAsia"/>
        <w:b/>
        <w:bCs/>
        <w:color w:val="005192"/>
        <w:sz w:val="32"/>
        <w:szCs w:val="32"/>
      </w:rPr>
      <w:t>天水市人民政府规章</w:t>
    </w:r>
  </w:p>
  <w:p w:rsidR="00524A3B" w:rsidRPr="00C068E8" w:rsidRDefault="00AC27B5" w:rsidP="00C068E8">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start w:val="2"/>
      <w:numFmt w:val="chineseCounting"/>
      <w:suff w:val="nothing"/>
      <w:lvlText w:val="（%1）"/>
      <w:lvlJc w:val="left"/>
    </w:lvl>
  </w:abstractNum>
  <w:abstractNum w:abstractNumId="1">
    <w:nsid w:val="00000002"/>
    <w:multiLevelType w:val="singleLevel"/>
    <w:tmpl w:val="00000002"/>
    <w:lvl w:ilvl="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77E"/>
    <w:rsid w:val="00222143"/>
    <w:rsid w:val="003C277E"/>
    <w:rsid w:val="00623128"/>
    <w:rsid w:val="00AC27B5"/>
    <w:rsid w:val="00C06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rsid w:val="00C068E8"/>
    <w:pPr>
      <w:widowControl w:val="0"/>
      <w:jc w:val="both"/>
    </w:pPr>
    <w:rPr>
      <w:rFonts w:ascii="Calibri" w:eastAsia="宋体" w:hAnsi="Calibri" w:cs="黑体"/>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C068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C068E8"/>
    <w:rPr>
      <w:sz w:val="18"/>
      <w:szCs w:val="18"/>
    </w:rPr>
  </w:style>
  <w:style w:type="paragraph" w:styleId="a5">
    <w:name w:val="footer"/>
    <w:basedOn w:val="a"/>
    <w:link w:val="Char0"/>
    <w:unhideWhenUsed/>
    <w:rsid w:val="00C068E8"/>
    <w:pPr>
      <w:tabs>
        <w:tab w:val="center" w:pos="4153"/>
        <w:tab w:val="right" w:pos="8306"/>
      </w:tabs>
      <w:snapToGrid w:val="0"/>
      <w:jc w:val="left"/>
    </w:pPr>
    <w:rPr>
      <w:sz w:val="18"/>
      <w:szCs w:val="18"/>
    </w:rPr>
  </w:style>
  <w:style w:type="character" w:customStyle="1" w:styleId="Char0">
    <w:name w:val="页脚 Char"/>
    <w:basedOn w:val="a1"/>
    <w:link w:val="a5"/>
    <w:rsid w:val="00C068E8"/>
    <w:rPr>
      <w:sz w:val="18"/>
      <w:szCs w:val="18"/>
    </w:rPr>
  </w:style>
  <w:style w:type="paragraph" w:customStyle="1" w:styleId="1">
    <w:name w:val="普通(网站)1"/>
    <w:basedOn w:val="a"/>
    <w:rsid w:val="00C068E8"/>
    <w:pPr>
      <w:spacing w:beforeAutospacing="1" w:afterAutospacing="1"/>
      <w:jc w:val="left"/>
    </w:pPr>
    <w:rPr>
      <w:kern w:val="0"/>
      <w:sz w:val="24"/>
    </w:rPr>
  </w:style>
  <w:style w:type="paragraph" w:customStyle="1" w:styleId="a6">
    <w:name w:val="一级标题（二号小标宋）"/>
    <w:basedOn w:val="a"/>
    <w:rsid w:val="00C068E8"/>
    <w:pPr>
      <w:jc w:val="center"/>
    </w:pPr>
    <w:rPr>
      <w:rFonts w:ascii="方正书宋简体" w:eastAsia="方正小标宋_GBK" w:hAnsi="方正书宋简体"/>
      <w:color w:val="000000"/>
      <w:sz w:val="42"/>
      <w:szCs w:val="42"/>
    </w:rPr>
  </w:style>
  <w:style w:type="paragraph" w:styleId="a0">
    <w:name w:val="Body Text"/>
    <w:basedOn w:val="a"/>
    <w:link w:val="Char1"/>
    <w:uiPriority w:val="99"/>
    <w:semiHidden/>
    <w:unhideWhenUsed/>
    <w:rsid w:val="00C068E8"/>
    <w:pPr>
      <w:spacing w:after="120"/>
    </w:pPr>
  </w:style>
  <w:style w:type="character" w:customStyle="1" w:styleId="Char1">
    <w:name w:val="正文文本 Char"/>
    <w:basedOn w:val="a1"/>
    <w:link w:val="a0"/>
    <w:uiPriority w:val="99"/>
    <w:semiHidden/>
    <w:rsid w:val="00C068E8"/>
    <w:rPr>
      <w:rFonts w:ascii="Calibri" w:eastAsia="宋体" w:hAnsi="Calibri" w:cs="黑体"/>
      <w:szCs w:val="24"/>
    </w:rPr>
  </w:style>
  <w:style w:type="paragraph" w:styleId="a7">
    <w:name w:val="Balloon Text"/>
    <w:basedOn w:val="a"/>
    <w:link w:val="Char2"/>
    <w:uiPriority w:val="99"/>
    <w:semiHidden/>
    <w:unhideWhenUsed/>
    <w:rsid w:val="00C068E8"/>
    <w:rPr>
      <w:sz w:val="18"/>
      <w:szCs w:val="18"/>
    </w:rPr>
  </w:style>
  <w:style w:type="character" w:customStyle="1" w:styleId="Char2">
    <w:name w:val="批注框文本 Char"/>
    <w:basedOn w:val="a1"/>
    <w:link w:val="a7"/>
    <w:uiPriority w:val="99"/>
    <w:semiHidden/>
    <w:rsid w:val="00C068E8"/>
    <w:rPr>
      <w:rFonts w:ascii="Calibri" w:eastAsia="宋体" w:hAnsi="Calibri" w:cs="黑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rsid w:val="00C068E8"/>
    <w:pPr>
      <w:widowControl w:val="0"/>
      <w:jc w:val="both"/>
    </w:pPr>
    <w:rPr>
      <w:rFonts w:ascii="Calibri" w:eastAsia="宋体" w:hAnsi="Calibri" w:cs="黑体"/>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C068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C068E8"/>
    <w:rPr>
      <w:sz w:val="18"/>
      <w:szCs w:val="18"/>
    </w:rPr>
  </w:style>
  <w:style w:type="paragraph" w:styleId="a5">
    <w:name w:val="footer"/>
    <w:basedOn w:val="a"/>
    <w:link w:val="Char0"/>
    <w:unhideWhenUsed/>
    <w:rsid w:val="00C068E8"/>
    <w:pPr>
      <w:tabs>
        <w:tab w:val="center" w:pos="4153"/>
        <w:tab w:val="right" w:pos="8306"/>
      </w:tabs>
      <w:snapToGrid w:val="0"/>
      <w:jc w:val="left"/>
    </w:pPr>
    <w:rPr>
      <w:sz w:val="18"/>
      <w:szCs w:val="18"/>
    </w:rPr>
  </w:style>
  <w:style w:type="character" w:customStyle="1" w:styleId="Char0">
    <w:name w:val="页脚 Char"/>
    <w:basedOn w:val="a1"/>
    <w:link w:val="a5"/>
    <w:rsid w:val="00C068E8"/>
    <w:rPr>
      <w:sz w:val="18"/>
      <w:szCs w:val="18"/>
    </w:rPr>
  </w:style>
  <w:style w:type="paragraph" w:customStyle="1" w:styleId="1">
    <w:name w:val="普通(网站)1"/>
    <w:basedOn w:val="a"/>
    <w:rsid w:val="00C068E8"/>
    <w:pPr>
      <w:spacing w:beforeAutospacing="1" w:afterAutospacing="1"/>
      <w:jc w:val="left"/>
    </w:pPr>
    <w:rPr>
      <w:kern w:val="0"/>
      <w:sz w:val="24"/>
    </w:rPr>
  </w:style>
  <w:style w:type="paragraph" w:customStyle="1" w:styleId="a6">
    <w:name w:val="一级标题（二号小标宋）"/>
    <w:basedOn w:val="a"/>
    <w:rsid w:val="00C068E8"/>
    <w:pPr>
      <w:jc w:val="center"/>
    </w:pPr>
    <w:rPr>
      <w:rFonts w:ascii="方正书宋简体" w:eastAsia="方正小标宋_GBK" w:hAnsi="方正书宋简体"/>
      <w:color w:val="000000"/>
      <w:sz w:val="42"/>
      <w:szCs w:val="42"/>
    </w:rPr>
  </w:style>
  <w:style w:type="paragraph" w:styleId="a0">
    <w:name w:val="Body Text"/>
    <w:basedOn w:val="a"/>
    <w:link w:val="Char1"/>
    <w:uiPriority w:val="99"/>
    <w:semiHidden/>
    <w:unhideWhenUsed/>
    <w:rsid w:val="00C068E8"/>
    <w:pPr>
      <w:spacing w:after="120"/>
    </w:pPr>
  </w:style>
  <w:style w:type="character" w:customStyle="1" w:styleId="Char1">
    <w:name w:val="正文文本 Char"/>
    <w:basedOn w:val="a1"/>
    <w:link w:val="a0"/>
    <w:uiPriority w:val="99"/>
    <w:semiHidden/>
    <w:rsid w:val="00C068E8"/>
    <w:rPr>
      <w:rFonts w:ascii="Calibri" w:eastAsia="宋体" w:hAnsi="Calibri" w:cs="黑体"/>
      <w:szCs w:val="24"/>
    </w:rPr>
  </w:style>
  <w:style w:type="paragraph" w:styleId="a7">
    <w:name w:val="Balloon Text"/>
    <w:basedOn w:val="a"/>
    <w:link w:val="Char2"/>
    <w:uiPriority w:val="99"/>
    <w:semiHidden/>
    <w:unhideWhenUsed/>
    <w:rsid w:val="00C068E8"/>
    <w:rPr>
      <w:sz w:val="18"/>
      <w:szCs w:val="18"/>
    </w:rPr>
  </w:style>
  <w:style w:type="character" w:customStyle="1" w:styleId="Char2">
    <w:name w:val="批注框文本 Char"/>
    <w:basedOn w:val="a1"/>
    <w:link w:val="a7"/>
    <w:uiPriority w:val="99"/>
    <w:semiHidden/>
    <w:rsid w:val="00C068E8"/>
    <w:rPr>
      <w:rFonts w:ascii="Calibri" w:eastAsia="宋体" w:hAnsi="Calibri" w:cs="黑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892</Words>
  <Characters>5088</Characters>
  <Application>Microsoft Office Word</Application>
  <DocSecurity>0</DocSecurity>
  <Lines>42</Lines>
  <Paragraphs>11</Paragraphs>
  <ScaleCrop>false</ScaleCrop>
  <Company/>
  <LinksUpToDate>false</LinksUpToDate>
  <CharactersWithSpaces>5969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天水市饮用水水源保护区环境保护管理办法</dc:title>
  <cp:lastModifiedBy>W W</cp:lastModifiedBy>
  <cp:revision>2</cp:revision>
  <dcterms:created xsi:type="dcterms:W3CDTF">2025-01-22T01:48:00Z</dcterms:created>
  <dcterms:modified xsi:type="dcterms:W3CDTF">2025-01-22T01:48:00Z</dcterms:modified>
</cp:coreProperties>
</file>