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6"/>
          <w:szCs w:val="44"/>
        </w:rPr>
      </w:pPr>
    </w:p>
    <w:p>
      <w:pPr>
        <w:rPr>
          <w:rFonts w:hint="default" w:ascii="Times New Roman" w:hAnsi="Times New Roman" w:cs="Times New Roman"/>
          <w:sz w:val="36"/>
          <w:szCs w:val="44"/>
        </w:rPr>
      </w:pPr>
    </w:p>
    <w:p>
      <w:pPr>
        <w:rPr>
          <w:rFonts w:hint="default" w:ascii="Times New Roman" w:hAnsi="Times New Roman" w:cs="Times New Roman"/>
          <w:sz w:val="36"/>
          <w:szCs w:val="44"/>
        </w:rPr>
      </w:pPr>
    </w:p>
    <w:p>
      <w:pPr>
        <w:rPr>
          <w:rFonts w:hint="default" w:ascii="Times New Roman" w:hAnsi="Times New Roman" w:cs="Times New Roman"/>
          <w:sz w:val="36"/>
          <w:szCs w:val="44"/>
        </w:rPr>
      </w:pPr>
    </w:p>
    <w:p>
      <w:pPr>
        <w:widowControl w:val="0"/>
        <w:wordWrap/>
        <w:adjustRightInd/>
        <w:snapToGrid/>
        <w:spacing w:line="740" w:lineRule="exact"/>
        <w:ind w:right="320" w:rightChars="100"/>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 xml:space="preserve">  文联活动专项经费支出绩效评价报告</w:t>
      </w:r>
    </w:p>
    <w:p>
      <w:pPr>
        <w:widowControl w:val="0"/>
        <w:wordWrap/>
        <w:adjustRightInd/>
        <w:snapToGrid/>
        <w:spacing w:line="740" w:lineRule="exact"/>
        <w:ind w:right="320" w:rightChars="100"/>
        <w:jc w:val="center"/>
        <w:textAlignment w:val="auto"/>
        <w:outlineLvl w:val="9"/>
        <w:rPr>
          <w:rFonts w:hint="default" w:ascii="Times New Roman" w:hAnsi="Times New Roman" w:eastAsia="方正小标宋简体" w:cs="Times New Roman"/>
          <w:sz w:val="44"/>
          <w:szCs w:val="44"/>
          <w:lang w:val="en-US" w:eastAsia="zh-CN"/>
        </w:rPr>
      </w:pPr>
    </w:p>
    <w:p>
      <w:pPr>
        <w:widowControl w:val="0"/>
        <w:wordWrap/>
        <w:adjustRightInd/>
        <w:snapToGrid/>
        <w:spacing w:line="740" w:lineRule="exact"/>
        <w:ind w:right="320" w:rightChars="100"/>
        <w:jc w:val="center"/>
        <w:textAlignment w:val="auto"/>
        <w:outlineLvl w:val="9"/>
        <w:rPr>
          <w:rFonts w:hint="default" w:ascii="Times New Roman" w:hAnsi="Times New Roman" w:eastAsia="方正小标宋简体" w:cs="Times New Roman"/>
          <w:sz w:val="44"/>
          <w:szCs w:val="44"/>
          <w:lang w:val="en-US" w:eastAsia="zh-CN"/>
        </w:rPr>
      </w:pPr>
    </w:p>
    <w:p>
      <w:pPr>
        <w:widowControl w:val="0"/>
        <w:wordWrap/>
        <w:adjustRightInd/>
        <w:snapToGrid/>
        <w:spacing w:line="740" w:lineRule="exact"/>
        <w:ind w:right="320" w:rightChars="100"/>
        <w:jc w:val="center"/>
        <w:textAlignment w:val="auto"/>
        <w:outlineLvl w:val="9"/>
        <w:rPr>
          <w:rFonts w:hint="default" w:ascii="Times New Roman" w:hAnsi="Times New Roman" w:eastAsia="方正小标宋简体" w:cs="Times New Roman"/>
          <w:sz w:val="44"/>
          <w:szCs w:val="44"/>
          <w:lang w:val="en-US" w:eastAsia="zh-CN"/>
        </w:rPr>
      </w:pPr>
    </w:p>
    <w:p>
      <w:pPr>
        <w:widowControl w:val="0"/>
        <w:wordWrap/>
        <w:adjustRightInd/>
        <w:snapToGrid/>
        <w:spacing w:line="740" w:lineRule="exact"/>
        <w:ind w:right="320" w:rightChars="100"/>
        <w:jc w:val="center"/>
        <w:textAlignment w:val="auto"/>
        <w:outlineLvl w:val="9"/>
        <w:rPr>
          <w:rFonts w:hint="default" w:ascii="Times New Roman" w:hAnsi="Times New Roman" w:eastAsia="方正小标宋简体" w:cs="Times New Roman"/>
          <w:sz w:val="44"/>
          <w:szCs w:val="44"/>
          <w:lang w:val="en-US" w:eastAsia="zh-CN"/>
        </w:rPr>
      </w:pPr>
    </w:p>
    <w:p>
      <w:pPr>
        <w:widowControl w:val="0"/>
        <w:wordWrap/>
        <w:adjustRightInd/>
        <w:snapToGrid/>
        <w:spacing w:line="740" w:lineRule="exact"/>
        <w:ind w:left="0" w:leftChars="0" w:right="320" w:rightChars="100" w:firstLine="1597" w:firstLineChars="363"/>
        <w:jc w:val="both"/>
        <w:textAlignment w:val="auto"/>
        <w:outlineLvl w:val="9"/>
        <w:rPr>
          <w:rFonts w:hint="default" w:ascii="Times New Roman" w:hAnsi="Times New Roman" w:eastAsia="方正小标宋简体" w:cs="Times New Roman"/>
          <w:sz w:val="44"/>
          <w:szCs w:val="44"/>
          <w:lang w:val="en-US" w:eastAsia="zh-CN"/>
        </w:rPr>
      </w:pPr>
    </w:p>
    <w:p>
      <w:pPr>
        <w:ind w:left="0" w:leftChars="0" w:firstLine="1600" w:firstLineChars="500"/>
        <w:jc w:val="both"/>
        <w:rPr>
          <w:rFonts w:hint="default" w:ascii="Times New Roman" w:hAnsi="Times New Roman" w:eastAsia="仿宋" w:cs="Times New Roman"/>
          <w:sz w:val="32"/>
          <w:szCs w:val="40"/>
          <w:lang w:eastAsia="zh-CN"/>
        </w:rPr>
      </w:pPr>
      <w:r>
        <w:rPr>
          <w:rFonts w:hint="default" w:ascii="Times New Roman" w:hAnsi="Times New Roman" w:eastAsia="仿宋" w:cs="Times New Roman"/>
          <w:sz w:val="32"/>
          <w:szCs w:val="40"/>
        </w:rPr>
        <w:t>项</w:t>
      </w:r>
      <w:r>
        <w:rPr>
          <w:rFonts w:hint="default" w:ascii="Times New Roman" w:hAnsi="Times New Roman" w:eastAsia="仿宋" w:cs="Times New Roman"/>
          <w:sz w:val="32"/>
          <w:szCs w:val="40"/>
          <w:lang w:val="en-US" w:eastAsia="zh-CN"/>
        </w:rPr>
        <w:t xml:space="preserve"> </w:t>
      </w:r>
      <w:r>
        <w:rPr>
          <w:rFonts w:hint="default" w:ascii="Times New Roman" w:hAnsi="Times New Roman" w:eastAsia="仿宋" w:cs="Times New Roman"/>
          <w:sz w:val="32"/>
          <w:szCs w:val="40"/>
        </w:rPr>
        <w:t>目</w:t>
      </w:r>
      <w:r>
        <w:rPr>
          <w:rFonts w:hint="default" w:ascii="Times New Roman" w:hAnsi="Times New Roman" w:eastAsia="仿宋" w:cs="Times New Roman"/>
          <w:sz w:val="32"/>
          <w:szCs w:val="40"/>
          <w:lang w:val="en-US" w:eastAsia="zh-CN"/>
        </w:rPr>
        <w:t xml:space="preserve">  </w:t>
      </w:r>
      <w:r>
        <w:rPr>
          <w:rFonts w:hint="default" w:ascii="Times New Roman" w:hAnsi="Times New Roman" w:eastAsia="仿宋" w:cs="Times New Roman"/>
          <w:sz w:val="32"/>
          <w:szCs w:val="40"/>
        </w:rPr>
        <w:t>名</w:t>
      </w:r>
      <w:r>
        <w:rPr>
          <w:rFonts w:hint="default" w:ascii="Times New Roman" w:hAnsi="Times New Roman" w:eastAsia="仿宋" w:cs="Times New Roman"/>
          <w:sz w:val="32"/>
          <w:szCs w:val="40"/>
          <w:lang w:val="en-US" w:eastAsia="zh-CN"/>
        </w:rPr>
        <w:t xml:space="preserve"> </w:t>
      </w:r>
      <w:r>
        <w:rPr>
          <w:rFonts w:hint="default" w:ascii="Times New Roman" w:hAnsi="Times New Roman" w:eastAsia="仿宋" w:cs="Times New Roman"/>
          <w:sz w:val="32"/>
          <w:szCs w:val="40"/>
        </w:rPr>
        <w:t>称：</w:t>
      </w:r>
      <w:r>
        <w:rPr>
          <w:rFonts w:hint="default" w:ascii="Times New Roman" w:hAnsi="Times New Roman" w:eastAsia="仿宋" w:cs="Times New Roman"/>
          <w:sz w:val="32"/>
          <w:szCs w:val="40"/>
          <w:lang w:eastAsia="zh-CN"/>
        </w:rPr>
        <w:t>文联活动专项经费</w:t>
      </w:r>
    </w:p>
    <w:p>
      <w:pPr>
        <w:ind w:left="0" w:leftChars="0" w:firstLine="1600" w:firstLineChars="500"/>
        <w:jc w:val="both"/>
        <w:rPr>
          <w:rFonts w:hint="default" w:ascii="Times New Roman" w:hAnsi="Times New Roman" w:eastAsia="仿宋" w:cs="Times New Roman"/>
          <w:sz w:val="32"/>
          <w:szCs w:val="40"/>
          <w:lang w:eastAsia="zh-CN"/>
        </w:rPr>
      </w:pPr>
      <w:r>
        <w:rPr>
          <w:rFonts w:hint="default" w:ascii="Times New Roman" w:hAnsi="Times New Roman" w:eastAsia="仿宋" w:cs="Times New Roman"/>
          <w:sz w:val="32"/>
          <w:szCs w:val="40"/>
        </w:rPr>
        <w:t>项目主管部门：</w:t>
      </w:r>
      <w:r>
        <w:rPr>
          <w:rFonts w:hint="default" w:ascii="Times New Roman" w:hAnsi="Times New Roman" w:eastAsia="仿宋" w:cs="Times New Roman"/>
          <w:sz w:val="32"/>
          <w:szCs w:val="40"/>
          <w:lang w:eastAsia="zh-CN"/>
        </w:rPr>
        <w:t>天水市文学艺术界联合会</w:t>
      </w:r>
    </w:p>
    <w:p>
      <w:pPr>
        <w:ind w:left="0" w:leftChars="0" w:firstLine="1600" w:firstLineChars="500"/>
        <w:jc w:val="both"/>
        <w:rPr>
          <w:rFonts w:hint="default" w:ascii="Times New Roman" w:hAnsi="Times New Roman" w:eastAsia="仿宋" w:cs="Times New Roman"/>
          <w:sz w:val="32"/>
          <w:szCs w:val="40"/>
          <w:lang w:eastAsia="zh-CN"/>
        </w:rPr>
      </w:pPr>
      <w:r>
        <w:rPr>
          <w:rFonts w:hint="default" w:ascii="Times New Roman" w:hAnsi="Times New Roman" w:eastAsia="仿宋" w:cs="Times New Roman"/>
          <w:sz w:val="32"/>
          <w:szCs w:val="40"/>
        </w:rPr>
        <w:t>评价实施部门：</w:t>
      </w:r>
      <w:r>
        <w:rPr>
          <w:rFonts w:hint="default" w:ascii="Times New Roman" w:hAnsi="Times New Roman" w:eastAsia="仿宋" w:cs="Times New Roman"/>
          <w:sz w:val="32"/>
          <w:szCs w:val="40"/>
          <w:lang w:eastAsia="zh-CN"/>
        </w:rPr>
        <w:t>天水市文学艺术界联合会</w:t>
      </w:r>
    </w:p>
    <w:p>
      <w:pPr>
        <w:ind w:left="0" w:leftChars="0" w:firstLine="1600" w:firstLineChars="500"/>
        <w:jc w:val="both"/>
        <w:rPr>
          <w:rFonts w:hint="default" w:ascii="Times New Roman" w:hAnsi="Times New Roman" w:eastAsia="仿宋" w:cs="Times New Roman"/>
          <w:sz w:val="32"/>
          <w:szCs w:val="40"/>
          <w:lang w:eastAsia="zh-CN"/>
        </w:rPr>
      </w:pPr>
      <w:r>
        <w:rPr>
          <w:rFonts w:hint="default" w:ascii="Times New Roman" w:hAnsi="Times New Roman" w:eastAsia="仿宋" w:cs="Times New Roman"/>
          <w:sz w:val="32"/>
          <w:szCs w:val="40"/>
        </w:rPr>
        <w:t>评价机构名称：</w:t>
      </w:r>
      <w:r>
        <w:rPr>
          <w:rFonts w:hint="default" w:ascii="Times New Roman" w:hAnsi="Times New Roman" w:eastAsia="仿宋" w:cs="Times New Roman"/>
          <w:sz w:val="32"/>
          <w:szCs w:val="40"/>
          <w:lang w:eastAsia="zh-CN"/>
        </w:rPr>
        <w:t>天水市文学艺术界联合会</w:t>
      </w:r>
    </w:p>
    <w:p>
      <w:pPr>
        <w:ind w:firstLine="640" w:firstLineChars="200"/>
        <w:rPr>
          <w:rFonts w:hint="default" w:ascii="Times New Roman" w:hAnsi="Times New Roman" w:eastAsia="仿宋" w:cs="Times New Roman"/>
          <w:sz w:val="32"/>
          <w:szCs w:val="40"/>
          <w:lang w:eastAsia="zh-C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jc w:val="center"/>
        <w:rPr>
          <w:rFonts w:hint="default" w:ascii="Times New Roman" w:hAnsi="Times New Roman" w:cs="Times New Roman"/>
        </w:rPr>
      </w:pPr>
    </w:p>
    <w:p>
      <w:pPr>
        <w:ind w:left="0" w:leftChars="0" w:firstLine="0" w:firstLineChars="0"/>
        <w:jc w:val="center"/>
        <w:rPr>
          <w:rFonts w:hint="default" w:ascii="Times New Roman" w:hAnsi="Times New Roman" w:eastAsia="仿宋" w:cs="Times New Roman"/>
          <w:sz w:val="32"/>
          <w:szCs w:val="40"/>
        </w:rPr>
      </w:pPr>
      <w:r>
        <w:rPr>
          <w:rFonts w:hint="default" w:ascii="Times New Roman" w:hAnsi="Times New Roman" w:eastAsia="仿宋" w:cs="Times New Roman"/>
          <w:sz w:val="32"/>
          <w:szCs w:val="40"/>
          <w:lang w:val="en-US" w:eastAsia="zh-CN"/>
        </w:rPr>
        <w:t>202</w:t>
      </w:r>
      <w:r>
        <w:rPr>
          <w:rFonts w:hint="eastAsia" w:eastAsia="仿宋" w:cs="Times New Roman"/>
          <w:sz w:val="32"/>
          <w:szCs w:val="40"/>
          <w:lang w:val="en-US" w:eastAsia="zh-CN"/>
        </w:rPr>
        <w:t>3</w:t>
      </w:r>
      <w:r>
        <w:rPr>
          <w:rFonts w:hint="default" w:ascii="Times New Roman" w:hAnsi="Times New Roman" w:eastAsia="仿宋" w:cs="Times New Roman"/>
          <w:sz w:val="32"/>
          <w:szCs w:val="40"/>
        </w:rPr>
        <w:t>年</w:t>
      </w:r>
      <w:r>
        <w:rPr>
          <w:rFonts w:hint="eastAsia" w:eastAsia="仿宋" w:cs="Times New Roman"/>
          <w:sz w:val="32"/>
          <w:szCs w:val="40"/>
          <w:lang w:val="en-US" w:eastAsia="zh-CN"/>
        </w:rPr>
        <w:t>8</w:t>
      </w:r>
      <w:bookmarkStart w:id="0" w:name="_GoBack"/>
      <w:bookmarkEnd w:id="0"/>
      <w:r>
        <w:rPr>
          <w:rFonts w:hint="default" w:ascii="Times New Roman" w:hAnsi="Times New Roman" w:eastAsia="仿宋" w:cs="Times New Roman"/>
          <w:sz w:val="32"/>
          <w:szCs w:val="40"/>
        </w:rPr>
        <w:t>月</w:t>
      </w:r>
    </w:p>
    <w:p>
      <w:pPr>
        <w:jc w:val="both"/>
        <w:rPr>
          <w:rFonts w:hint="default" w:ascii="Times New Roman" w:hAnsi="Times New Roman" w:eastAsia="方正小标宋简体" w:cs="Times New Roman"/>
          <w:sz w:val="44"/>
          <w:szCs w:val="52"/>
        </w:rPr>
      </w:pPr>
    </w:p>
    <w:p>
      <w:pPr>
        <w:jc w:val="center"/>
        <w:sectPr>
          <w:headerReference r:id="rId3" w:type="default"/>
          <w:footerReference r:id="rId4" w:type="default"/>
          <w:pgSz w:w="11906" w:h="16838"/>
          <w:pgMar w:top="1984" w:right="1531" w:bottom="1701" w:left="1531" w:header="851" w:footer="992" w:gutter="0"/>
          <w:pgNumType w:fmt="decimal" w:start="1"/>
          <w:cols w:space="720" w:num="1"/>
          <w:docGrid w:type="lines" w:linePitch="438" w:charSpace="0"/>
        </w:sectPr>
      </w:pPr>
    </w:p>
    <w:p>
      <w:pPr>
        <w:jc w:val="center"/>
        <w:rPr>
          <w:rFonts w:hint="default" w:ascii="Times New Roman" w:hAnsi="Times New Roman" w:eastAsia="方正小标宋简体" w:cs="Times New Roman"/>
          <w:sz w:val="44"/>
          <w:szCs w:val="52"/>
        </w:rPr>
      </w:pPr>
      <w:r>
        <w:rPr>
          <w:rFonts w:hint="default" w:ascii="Times New Roman" w:hAnsi="Times New Roman" w:eastAsia="方正小标宋简体" w:cs="Times New Roman"/>
          <w:sz w:val="44"/>
          <w:szCs w:val="52"/>
        </w:rPr>
        <w:t>报告摘要</w:t>
      </w:r>
    </w:p>
    <w:p>
      <w:pPr>
        <w:jc w:val="center"/>
        <w:rPr>
          <w:rFonts w:hint="default" w:ascii="Times New Roman" w:hAnsi="Times New Roman" w:eastAsia="方正小标宋简体" w:cs="Times New Roman"/>
          <w:sz w:val="44"/>
          <w:szCs w:val="52"/>
        </w:rPr>
      </w:pPr>
    </w:p>
    <w:p>
      <w:pPr>
        <w:ind w:firstLine="643" w:firstLineChars="200"/>
        <w:rPr>
          <w:rFonts w:hint="default" w:ascii="Times New Roman" w:hAnsi="Times New Roman" w:eastAsia="宋体" w:cs="Times New Roman"/>
          <w:b/>
          <w:bCs/>
          <w:sz w:val="32"/>
          <w:szCs w:val="40"/>
        </w:rPr>
      </w:pPr>
      <w:r>
        <w:rPr>
          <w:rFonts w:hint="default" w:ascii="Times New Roman" w:hAnsi="Times New Roman" w:eastAsia="宋体" w:cs="Times New Roman"/>
          <w:b/>
          <w:bCs/>
          <w:sz w:val="32"/>
          <w:szCs w:val="40"/>
        </w:rPr>
        <w:t>一、项目基本情况</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（一）项目立项背景及实施目的</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（二）项目预算安排和支出情况</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（三）项目主要内容和实施情况</w:t>
      </w:r>
    </w:p>
    <w:p>
      <w:pPr>
        <w:ind w:firstLine="643" w:firstLineChars="200"/>
        <w:rPr>
          <w:rFonts w:hint="default" w:ascii="Times New Roman" w:hAnsi="Times New Roman" w:eastAsia="宋体" w:cs="Times New Roman"/>
          <w:b/>
          <w:bCs/>
          <w:sz w:val="32"/>
          <w:szCs w:val="40"/>
        </w:rPr>
      </w:pPr>
      <w:r>
        <w:rPr>
          <w:rFonts w:hint="default" w:ascii="Times New Roman" w:hAnsi="Times New Roman" w:eastAsia="宋体" w:cs="Times New Roman"/>
          <w:b/>
          <w:bCs/>
          <w:sz w:val="32"/>
          <w:szCs w:val="40"/>
        </w:rPr>
        <w:t>二、项目绩效目标</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（一）总体绩效目标</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（二）202</w:t>
      </w:r>
      <w:r>
        <w:rPr>
          <w:rFonts w:hint="eastAsia" w:eastAsia="仿宋" w:cs="Times New Roman"/>
          <w:sz w:val="32"/>
          <w:szCs w:val="40"/>
          <w:lang w:val="en-US" w:eastAsia="zh-CN"/>
        </w:rPr>
        <w:t>2</w:t>
      </w:r>
      <w:r>
        <w:rPr>
          <w:rFonts w:hint="default" w:ascii="Times New Roman" w:hAnsi="Times New Roman" w:eastAsia="仿宋" w:cs="Times New Roman"/>
          <w:sz w:val="32"/>
          <w:szCs w:val="40"/>
        </w:rPr>
        <w:t>年度（或阶段性）绩效目标</w:t>
      </w:r>
    </w:p>
    <w:p>
      <w:pPr>
        <w:ind w:firstLine="643" w:firstLineChars="200"/>
        <w:rPr>
          <w:rFonts w:hint="default" w:ascii="Times New Roman" w:hAnsi="Times New Roman" w:eastAsia="仿宋" w:cs="Times New Roman"/>
          <w:sz w:val="32"/>
          <w:szCs w:val="40"/>
        </w:rPr>
      </w:pPr>
      <w:r>
        <w:rPr>
          <w:rFonts w:hint="default" w:ascii="Times New Roman" w:hAnsi="Times New Roman" w:eastAsia="宋体" w:cs="Times New Roman"/>
          <w:b/>
          <w:bCs/>
          <w:sz w:val="32"/>
          <w:szCs w:val="40"/>
        </w:rPr>
        <w:t>三、评价基本情况</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（一）绩效评价目的、对象和范围</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（二）绩效评价原则、评价指标体系（简要说明）、评价</w:t>
      </w:r>
      <w:r>
        <w:rPr>
          <w:rFonts w:hint="default" w:ascii="Times New Roman" w:hAnsi="Times New Roman" w:eastAsia="仿宋" w:cs="Times New Roman"/>
          <w:sz w:val="32"/>
          <w:szCs w:val="40"/>
          <w:lang w:eastAsia="zh-CN"/>
        </w:rPr>
        <w:t>方</w:t>
      </w:r>
      <w:r>
        <w:rPr>
          <w:rFonts w:hint="default" w:ascii="Times New Roman" w:hAnsi="Times New Roman" w:eastAsia="仿宋" w:cs="Times New Roman"/>
          <w:sz w:val="32"/>
          <w:szCs w:val="40"/>
        </w:rPr>
        <w:t>法、评价标准等</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（三）绩效评价工作过程</w:t>
      </w:r>
    </w:p>
    <w:p>
      <w:pPr>
        <w:ind w:firstLine="643" w:firstLineChars="200"/>
        <w:rPr>
          <w:rFonts w:hint="default" w:ascii="Times New Roman" w:hAnsi="Times New Roman" w:eastAsia="宋体" w:cs="Times New Roman"/>
          <w:b/>
          <w:bCs/>
          <w:sz w:val="32"/>
          <w:szCs w:val="40"/>
        </w:rPr>
      </w:pPr>
      <w:r>
        <w:rPr>
          <w:rFonts w:hint="default" w:ascii="Times New Roman" w:hAnsi="Times New Roman" w:eastAsia="宋体" w:cs="Times New Roman"/>
          <w:b/>
          <w:bCs/>
          <w:sz w:val="32"/>
          <w:szCs w:val="40"/>
        </w:rPr>
        <w:t>四、评价结论和绩效分析</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（一）综合评价结论</w:t>
      </w:r>
    </w:p>
    <w:p>
      <w:pPr>
        <w:ind w:firstLine="640" w:firstLineChars="200"/>
        <w:rPr>
          <w:rFonts w:hint="default" w:ascii="Times New Roman" w:hAnsi="Times New Roman" w:eastAsia="仿宋" w:cs="Times New Roman"/>
          <w:sz w:val="32"/>
          <w:szCs w:val="40"/>
        </w:rPr>
      </w:pPr>
      <w:r>
        <w:rPr>
          <w:rFonts w:hint="default" w:ascii="Times New Roman" w:hAnsi="Times New Roman" w:eastAsia="仿宋" w:cs="Times New Roman"/>
          <w:sz w:val="32"/>
          <w:szCs w:val="40"/>
        </w:rPr>
        <w:t>（二）绩效分析</w:t>
      </w:r>
    </w:p>
    <w:p>
      <w:pPr>
        <w:ind w:firstLine="643" w:firstLineChars="200"/>
        <w:rPr>
          <w:rFonts w:hint="default" w:ascii="Times New Roman" w:hAnsi="Times New Roman" w:eastAsia="宋体" w:cs="Times New Roman"/>
          <w:b/>
          <w:bCs/>
          <w:sz w:val="32"/>
          <w:szCs w:val="40"/>
        </w:rPr>
      </w:pPr>
      <w:r>
        <w:rPr>
          <w:rFonts w:hint="default" w:ascii="Times New Roman" w:hAnsi="Times New Roman" w:eastAsia="宋体" w:cs="Times New Roman"/>
          <w:b/>
          <w:bCs/>
          <w:sz w:val="32"/>
          <w:szCs w:val="40"/>
        </w:rPr>
        <w:t>五、存在问题及原因分析</w:t>
      </w:r>
    </w:p>
    <w:p>
      <w:pPr>
        <w:ind w:firstLine="643" w:firstLineChars="200"/>
        <w:rPr>
          <w:rFonts w:hint="default" w:ascii="Times New Roman" w:hAnsi="Times New Roman" w:eastAsia="宋体" w:cs="Times New Roman"/>
          <w:b/>
          <w:bCs/>
          <w:sz w:val="32"/>
          <w:szCs w:val="40"/>
        </w:rPr>
      </w:pPr>
      <w:r>
        <w:rPr>
          <w:rFonts w:hint="default" w:ascii="Times New Roman" w:hAnsi="Times New Roman" w:eastAsia="宋体" w:cs="Times New Roman"/>
          <w:b/>
          <w:bCs/>
          <w:sz w:val="32"/>
          <w:szCs w:val="40"/>
        </w:rPr>
        <w:t>六、有关建议</w:t>
      </w:r>
    </w:p>
    <w:p>
      <w:pPr>
        <w:rPr>
          <w:rFonts w:hint="default" w:ascii="Times New Roman" w:hAnsi="Times New Roman" w:eastAsia="仿宋" w:cs="Times New Roman"/>
          <w:sz w:val="32"/>
          <w:szCs w:val="40"/>
        </w:rPr>
      </w:pPr>
    </w:p>
    <w:p>
      <w:pPr>
        <w:ind w:firstLine="960" w:firstLineChars="300"/>
        <w:rPr>
          <w:rFonts w:hint="default" w:ascii="Times New Roman" w:hAnsi="Times New Roman" w:eastAsia="仿宋" w:cs="Times New Roman"/>
          <w:sz w:val="32"/>
          <w:szCs w:val="40"/>
        </w:rPr>
      </w:pPr>
    </w:p>
    <w:p>
      <w:pPr>
        <w:spacing w:line="640" w:lineRule="exact"/>
        <w:jc w:val="both"/>
        <w:rPr>
          <w:rFonts w:hint="default" w:ascii="Times New Roman" w:hAnsi="Times New Roman" w:eastAsia="方正小标宋简体" w:cs="Times New Roman"/>
          <w:sz w:val="44"/>
          <w:szCs w:val="44"/>
        </w:rPr>
      </w:pPr>
    </w:p>
    <w:p>
      <w:pPr>
        <w:spacing w:line="640" w:lineRule="exact"/>
        <w:jc w:val="both"/>
        <w:rPr>
          <w:rFonts w:hint="default" w:ascii="Times New Roman" w:hAnsi="Times New Roman" w:eastAsia="方正小标宋简体" w:cs="Times New Roman"/>
          <w:sz w:val="44"/>
          <w:szCs w:val="44"/>
        </w:rPr>
      </w:pPr>
    </w:p>
    <w:p>
      <w:pPr>
        <w:spacing w:line="640" w:lineRule="exact"/>
        <w:jc w:val="both"/>
        <w:rPr>
          <w:rFonts w:hint="default" w:ascii="Times New Roman" w:hAnsi="Times New Roman" w:eastAsia="方正小标宋简体" w:cs="Times New Roman"/>
          <w:sz w:val="44"/>
          <w:szCs w:val="44"/>
        </w:rPr>
      </w:pPr>
    </w:p>
    <w:p>
      <w:pPr>
        <w:spacing w:line="640" w:lineRule="exact"/>
        <w:jc w:val="center"/>
        <w:rPr>
          <w:rFonts w:hint="default" w:ascii="Times New Roman" w:hAnsi="Times New Roman" w:eastAsia="方正小标宋简体" w:cs="Times New Roman"/>
          <w:sz w:val="44"/>
          <w:szCs w:val="44"/>
        </w:rPr>
      </w:pPr>
    </w:p>
    <w:p>
      <w:pPr>
        <w:spacing w:line="640" w:lineRule="exact"/>
        <w:jc w:val="center"/>
        <w:sectPr>
          <w:footerReference r:id="rId5" w:type="default"/>
          <w:pgSz w:w="11906" w:h="16838"/>
          <w:pgMar w:top="1984" w:right="1531" w:bottom="1701" w:left="1531" w:header="851" w:footer="992" w:gutter="0"/>
          <w:pgNumType w:fmt="decimal" w:start="1"/>
          <w:cols w:space="720" w:num="1"/>
          <w:docGrid w:type="lines" w:linePitch="438" w:charSpace="0"/>
        </w:sectPr>
      </w:pPr>
    </w:p>
    <w:p>
      <w:pPr>
        <w:widowControl w:val="0"/>
        <w:wordWrap/>
        <w:spacing w:before="0" w:after="0" w:line="580" w:lineRule="exact"/>
        <w:ind w:right="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天水市文联20</w:t>
      </w:r>
      <w:r>
        <w:rPr>
          <w:rFonts w:hint="default" w:ascii="Times New Roman" w:hAnsi="Times New Roman" w:eastAsia="方正小标宋简体" w:cs="Times New Roman"/>
          <w:sz w:val="44"/>
          <w:szCs w:val="44"/>
          <w:lang w:val="en-US" w:eastAsia="zh-CN"/>
        </w:rPr>
        <w:t>2</w:t>
      </w:r>
      <w:r>
        <w:rPr>
          <w:rFonts w:hint="eastAsia" w:eastAsia="方正小标宋简体" w:cs="Times New Roman"/>
          <w:sz w:val="44"/>
          <w:szCs w:val="44"/>
          <w:lang w:val="en-US" w:eastAsia="zh-CN"/>
        </w:rPr>
        <w:t>2</w:t>
      </w:r>
      <w:r>
        <w:rPr>
          <w:rFonts w:hint="default" w:ascii="Times New Roman" w:hAnsi="Times New Roman" w:eastAsia="方正小标宋简体" w:cs="Times New Roman"/>
          <w:sz w:val="44"/>
          <w:szCs w:val="44"/>
        </w:rPr>
        <w:t>年度</w:t>
      </w:r>
    </w:p>
    <w:p>
      <w:pPr>
        <w:widowControl w:val="0"/>
        <w:wordWrap/>
        <w:spacing w:before="0" w:after="0" w:line="580" w:lineRule="exact"/>
        <w:ind w:right="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文联活动经费项目支出绩效</w:t>
      </w:r>
      <w:r>
        <w:rPr>
          <w:rFonts w:hint="default" w:ascii="Times New Roman" w:hAnsi="Times New Roman" w:eastAsia="方正小标宋简体" w:cs="Times New Roman"/>
          <w:sz w:val="44"/>
          <w:szCs w:val="44"/>
          <w:lang w:eastAsia="zh-CN"/>
        </w:rPr>
        <w:t>评价</w:t>
      </w:r>
      <w:r>
        <w:rPr>
          <w:rFonts w:hint="default" w:ascii="Times New Roman" w:hAnsi="Times New Roman" w:eastAsia="方正小标宋简体" w:cs="Times New Roman"/>
          <w:sz w:val="44"/>
          <w:szCs w:val="44"/>
        </w:rPr>
        <w:t>报告</w:t>
      </w:r>
    </w:p>
    <w:p>
      <w:pPr>
        <w:widowControl w:val="0"/>
        <w:wordWrap/>
        <w:adjustRightInd w:val="0"/>
        <w:snapToGrid w:val="0"/>
        <w:spacing w:before="0" w:after="0" w:line="580" w:lineRule="exact"/>
        <w:ind w:right="0"/>
        <w:textAlignment w:val="auto"/>
        <w:outlineLvl w:val="9"/>
        <w:rPr>
          <w:rFonts w:hint="default" w:ascii="Times New Roman" w:hAnsi="Times New Roman" w:eastAsia="黑体" w:cs="Times New Roman"/>
        </w:rPr>
      </w:pP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kern w:val="0"/>
        </w:rPr>
      </w:pPr>
      <w:r>
        <w:rPr>
          <w:rFonts w:hint="default" w:ascii="Times New Roman" w:hAnsi="Times New Roman" w:eastAsia="黑体" w:cs="Times New Roman"/>
          <w:lang w:val="zh-CN"/>
        </w:rPr>
        <w:t>一、项目基本情况</w:t>
      </w:r>
    </w:p>
    <w:p>
      <w:pPr>
        <w:widowControl w:val="0"/>
        <w:wordWrap/>
        <w:adjustRightInd w:val="0"/>
        <w:snapToGrid w:val="0"/>
        <w:spacing w:before="0" w:after="0" w:line="580" w:lineRule="exact"/>
        <w:ind w:left="640" w:right="0"/>
        <w:textAlignment w:val="auto"/>
        <w:outlineLvl w:val="9"/>
        <w:rPr>
          <w:rFonts w:hint="default" w:ascii="Times New Roman" w:hAnsi="Times New Roman" w:eastAsia="楷体" w:cs="Times New Roman"/>
          <w:b/>
          <w:bCs/>
          <w:kern w:val="0"/>
        </w:rPr>
      </w:pPr>
      <w:r>
        <w:rPr>
          <w:rFonts w:hint="default" w:ascii="Times New Roman" w:hAnsi="Times New Roman" w:eastAsia="楷体" w:cs="Times New Roman"/>
          <w:b/>
          <w:bCs/>
          <w:kern w:val="0"/>
        </w:rPr>
        <w:t>（一）项目概况</w:t>
      </w:r>
    </w:p>
    <w:p>
      <w:pPr>
        <w:widowControl w:val="0"/>
        <w:wordWrap/>
        <w:adjustRightInd w:val="0"/>
        <w:snapToGrid w:val="0"/>
        <w:spacing w:before="0" w:after="0" w:line="580" w:lineRule="exact"/>
        <w:ind w:right="0" w:firstLine="720"/>
        <w:textAlignment w:val="auto"/>
        <w:outlineLvl w:val="9"/>
        <w:rPr>
          <w:rFonts w:hint="default" w:ascii="Times New Roman" w:hAnsi="Times New Roman" w:cs="Times New Roman"/>
          <w:lang w:val="zh-CN"/>
        </w:rPr>
      </w:pPr>
      <w:r>
        <w:rPr>
          <w:rFonts w:hint="default" w:ascii="Times New Roman" w:hAnsi="Times New Roman" w:cs="Times New Roman"/>
          <w:b/>
          <w:bCs/>
        </w:rPr>
        <w:t>1.项目立项背景。</w:t>
      </w:r>
      <w:r>
        <w:rPr>
          <w:rFonts w:hint="default" w:ascii="Times New Roman" w:hAnsi="Times New Roman" w:cs="Times New Roman"/>
          <w:lang w:val="zh-CN"/>
        </w:rPr>
        <w:t>天水市文联是中共天水市委领导下的，由天水市各文艺家协会、各县区文联、各行业文联、协会和文艺团体联合组成的人民团体，是党和政府联系广大文艺家的桥梁和纽带，是繁荣发展社会主义文艺事业、建设社会主义先进文化的重要力量，是甘肃省文联的团体会员单位。目前，市文联机关有总编制2</w:t>
      </w:r>
      <w:r>
        <w:rPr>
          <w:rFonts w:hint="eastAsia" w:cs="Times New Roman"/>
          <w:lang w:val="en-US" w:eastAsia="zh-CN"/>
        </w:rPr>
        <w:t>6</w:t>
      </w:r>
      <w:r>
        <w:rPr>
          <w:rFonts w:hint="default" w:ascii="Times New Roman" w:hAnsi="Times New Roman" w:cs="Times New Roman"/>
          <w:lang w:val="zh-CN"/>
        </w:rPr>
        <w:t>名，其中参公管理编制12名，事业编制1</w:t>
      </w:r>
      <w:r>
        <w:rPr>
          <w:rFonts w:hint="eastAsia" w:cs="Times New Roman"/>
          <w:lang w:val="en-US" w:eastAsia="zh-CN"/>
        </w:rPr>
        <w:t>4</w:t>
      </w:r>
      <w:r>
        <w:rPr>
          <w:rFonts w:hint="default" w:ascii="Times New Roman" w:hAnsi="Times New Roman" w:cs="Times New Roman"/>
          <w:lang w:val="zh-CN"/>
        </w:rPr>
        <w:t>名，内设办公室、组联科</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党建科、新文艺群体</w:t>
      </w:r>
      <w:r>
        <w:rPr>
          <w:rFonts w:hint="default" w:ascii="Times New Roman" w:hAnsi="Times New Roman" w:cs="Times New Roman"/>
          <w:sz w:val="32"/>
          <w:szCs w:val="32"/>
          <w:lang w:eastAsia="zh-CN"/>
        </w:rPr>
        <w:t>管理</w:t>
      </w:r>
      <w:r>
        <w:rPr>
          <w:rFonts w:hint="default" w:ascii="Times New Roman" w:hAnsi="Times New Roman" w:eastAsia="仿宋_GB2312" w:cs="Times New Roman"/>
          <w:sz w:val="32"/>
          <w:szCs w:val="32"/>
          <w:lang w:eastAsia="zh-CN"/>
        </w:rPr>
        <w:t>科</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个</w:t>
      </w:r>
      <w:r>
        <w:rPr>
          <w:rFonts w:hint="default" w:ascii="Times New Roman" w:hAnsi="Times New Roman" w:cs="Times New Roman"/>
          <w:lang w:val="zh-CN"/>
        </w:rPr>
        <w:t>职能科室和天水市艺术研究院、《天水文学》编辑部2个科级事业单位（一套人马两个牌子）。</w:t>
      </w:r>
    </w:p>
    <w:p>
      <w:pPr>
        <w:widowControl w:val="0"/>
        <w:wordWrap/>
        <w:adjustRightInd w:val="0"/>
        <w:snapToGrid w:val="0"/>
        <w:spacing w:before="0" w:after="0" w:line="580" w:lineRule="exact"/>
        <w:ind w:right="0" w:firstLine="720"/>
        <w:textAlignment w:val="auto"/>
        <w:outlineLvl w:val="9"/>
        <w:rPr>
          <w:rFonts w:hint="default" w:ascii="Times New Roman" w:hAnsi="Times New Roman" w:cs="Times New Roman"/>
          <w:lang w:val="zh-CN"/>
        </w:rPr>
      </w:pPr>
      <w:r>
        <w:rPr>
          <w:rFonts w:hint="default" w:ascii="Times New Roman" w:hAnsi="Times New Roman" w:cs="Times New Roman"/>
          <w:lang w:val="zh-CN"/>
        </w:rPr>
        <w:t>工作职责：</w:t>
      </w:r>
      <w:r>
        <w:rPr>
          <w:rFonts w:hint="default" w:ascii="Times New Roman" w:hAnsi="Times New Roman" w:cs="Times New Roman"/>
        </w:rPr>
        <w:t>1.</w:t>
      </w:r>
      <w:r>
        <w:rPr>
          <w:rFonts w:hint="default" w:ascii="Times New Roman" w:hAnsi="Times New Roman" w:cs="Times New Roman"/>
          <w:lang w:val="zh-CN"/>
        </w:rPr>
        <w:t>组织我市文艺工作者认真学习党的路线、方针和政策，贯彻落实市委、市政府的重大决策，不断提高文艺工作者的思想水平，鼓励和引导广大文艺工作者为我市的改革开放和两个文明建设服务。</w:t>
      </w:r>
      <w:r>
        <w:rPr>
          <w:rFonts w:hint="default" w:ascii="Times New Roman" w:hAnsi="Times New Roman" w:cs="Times New Roman"/>
        </w:rPr>
        <w:t>2.</w:t>
      </w:r>
      <w:r>
        <w:rPr>
          <w:rFonts w:hint="default" w:ascii="Times New Roman" w:hAnsi="Times New Roman" w:cs="Times New Roman"/>
          <w:lang w:val="zh-CN"/>
        </w:rPr>
        <w:t>组织广大文艺工作者积极开展文艺创作，进行学术交流。</w:t>
      </w:r>
      <w:r>
        <w:rPr>
          <w:rFonts w:hint="default" w:ascii="Times New Roman" w:hAnsi="Times New Roman" w:cs="Times New Roman"/>
        </w:rPr>
        <w:t>3.</w:t>
      </w:r>
      <w:r>
        <w:rPr>
          <w:rFonts w:hint="default" w:ascii="Times New Roman" w:hAnsi="Times New Roman" w:cs="Times New Roman"/>
          <w:lang w:val="zh-CN"/>
        </w:rPr>
        <w:t>组织开展全市性的各类文艺活动，活跃我市人民文化生活。</w:t>
      </w:r>
      <w:r>
        <w:rPr>
          <w:rFonts w:hint="default" w:ascii="Times New Roman" w:hAnsi="Times New Roman" w:cs="Times New Roman"/>
        </w:rPr>
        <w:t>4.</w:t>
      </w:r>
      <w:r>
        <w:rPr>
          <w:rFonts w:hint="default" w:ascii="Times New Roman" w:hAnsi="Times New Roman" w:cs="Times New Roman"/>
          <w:lang w:val="zh-CN"/>
        </w:rPr>
        <w:t>组织和协同有关部门进行全市性文艺评奖活动。</w:t>
      </w:r>
      <w:r>
        <w:rPr>
          <w:rFonts w:hint="default" w:ascii="Times New Roman" w:hAnsi="Times New Roman" w:cs="Times New Roman"/>
        </w:rPr>
        <w:t>5.</w:t>
      </w:r>
      <w:r>
        <w:rPr>
          <w:rFonts w:hint="default" w:ascii="Times New Roman" w:hAnsi="Times New Roman" w:cs="Times New Roman"/>
          <w:lang w:val="zh-CN"/>
        </w:rPr>
        <w:t>主管、主办机关文艺刊物。</w:t>
      </w:r>
      <w:r>
        <w:rPr>
          <w:rFonts w:hint="default" w:ascii="Times New Roman" w:hAnsi="Times New Roman" w:cs="Times New Roman"/>
        </w:rPr>
        <w:t>6.</w:t>
      </w:r>
      <w:r>
        <w:rPr>
          <w:rFonts w:hint="default" w:ascii="Times New Roman" w:hAnsi="Times New Roman" w:cs="Times New Roman"/>
          <w:lang w:val="zh-CN"/>
        </w:rPr>
        <w:t>组织召开“文代会”和“协代会”、理事会、常务理事会和主席团会议，充分发挥各文艺家协会的作用，依据国家有关法规和文联章程维护文艺家的正当权益，向党委和政府反映文艺界的意见和建议。协同有关部门为文艺工作者提供必要的工作条件，促进文艺家的团结，开创文艺发展的新局面。</w:t>
      </w:r>
      <w:r>
        <w:rPr>
          <w:rFonts w:hint="default" w:ascii="Times New Roman" w:hAnsi="Times New Roman" w:cs="Times New Roman"/>
        </w:rPr>
        <w:t>7.</w:t>
      </w:r>
      <w:r>
        <w:rPr>
          <w:rFonts w:hint="default" w:ascii="Times New Roman" w:hAnsi="Times New Roman" w:cs="Times New Roman"/>
          <w:lang w:val="zh-CN"/>
        </w:rPr>
        <w:t>组织我市文艺界积极开展对外文艺交流，加强合作，促进我市对外开放和各项事业的健康发展，为把我市建设成特色文化大市而积极贡献力量。</w:t>
      </w:r>
      <w:r>
        <w:rPr>
          <w:rFonts w:hint="default" w:ascii="Times New Roman" w:hAnsi="Times New Roman" w:cs="Times New Roman"/>
        </w:rPr>
        <w:t>8.</w:t>
      </w:r>
      <w:r>
        <w:rPr>
          <w:rFonts w:hint="default" w:ascii="Times New Roman" w:hAnsi="Times New Roman" w:cs="Times New Roman"/>
          <w:lang w:val="zh-CN"/>
        </w:rPr>
        <w:t>承办市委、市政府交办的有关事项。</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lang w:eastAsia="zh-CN"/>
        </w:rPr>
      </w:pPr>
      <w:r>
        <w:rPr>
          <w:rFonts w:hint="default" w:ascii="Times New Roman" w:hAnsi="Times New Roman" w:cs="Times New Roman"/>
          <w:lang w:val="zh-CN"/>
        </w:rPr>
        <w:t>为了推动我市文艺事业繁荣发展，市财政每年设立文联活动专项资金，用于</w:t>
      </w:r>
      <w:r>
        <w:rPr>
          <w:rFonts w:hint="default" w:ascii="Times New Roman" w:hAnsi="Times New Roman" w:cs="Times New Roman"/>
        </w:rPr>
        <w:t>开展各类文艺活动,推动协会活动开展，印发文联内部刊物《天水文学》</w:t>
      </w:r>
      <w:r>
        <w:rPr>
          <w:rFonts w:hint="default" w:ascii="Times New Roman" w:hAnsi="Times New Roman" w:cs="Times New Roman"/>
          <w:lang w:eastAsia="zh-CN"/>
        </w:rPr>
        <w:t>。</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rPr>
      </w:pPr>
      <w:r>
        <w:rPr>
          <w:rFonts w:hint="default" w:ascii="Times New Roman" w:hAnsi="Times New Roman" w:eastAsia="方正楷体简体" w:cs="Times New Roman"/>
          <w:b w:val="0"/>
          <w:bCs w:val="0"/>
          <w:lang w:eastAsia="zh-CN"/>
        </w:rPr>
        <w:t>（二）项目预算安排</w:t>
      </w:r>
      <w:r>
        <w:rPr>
          <w:rFonts w:hint="default" w:ascii="Times New Roman" w:hAnsi="Times New Roman" w:eastAsia="方正楷体简体" w:cs="Times New Roman"/>
          <w:b w:val="0"/>
          <w:bCs w:val="0"/>
        </w:rPr>
        <w:t>使用情况。</w:t>
      </w:r>
      <w:r>
        <w:rPr>
          <w:rFonts w:hint="default" w:ascii="Times New Roman" w:hAnsi="Times New Roman" w:cs="Times New Roman"/>
          <w:lang w:val="zh-CN"/>
        </w:rPr>
        <w:t>20</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lang w:val="zh-CN"/>
        </w:rPr>
        <w:t>年天水市文联活动经费项目</w:t>
      </w:r>
      <w:r>
        <w:rPr>
          <w:rFonts w:hint="eastAsia" w:cs="Times New Roman"/>
          <w:lang w:val="en-US" w:eastAsia="zh-CN"/>
        </w:rPr>
        <w:t>12.5</w:t>
      </w:r>
      <w:r>
        <w:rPr>
          <w:rFonts w:hint="default" w:ascii="Times New Roman" w:hAnsi="Times New Roman" w:cs="Times New Roman"/>
          <w:lang w:val="zh-CN"/>
        </w:rPr>
        <w:t>万元属于市财政预算内专项文联活动经费，已由市财政局预算科于年初将指标下达到归口科室科技文化科，用于</w:t>
      </w:r>
      <w:r>
        <w:rPr>
          <w:rFonts w:hint="default" w:ascii="Times New Roman" w:hAnsi="Times New Roman" w:cs="Times New Roman"/>
        </w:rPr>
        <w:t>开展各类文艺活动,推动协会活动开展，印发文联内部刊物</w:t>
      </w:r>
      <w:r>
        <w:rPr>
          <w:rFonts w:hint="default" w:ascii="Times New Roman" w:hAnsi="Times New Roman" w:cs="Times New Roman"/>
          <w:lang w:eastAsia="zh-CN"/>
        </w:rPr>
        <w:t>等</w:t>
      </w:r>
      <w:r>
        <w:rPr>
          <w:rFonts w:hint="default" w:ascii="Times New Roman" w:hAnsi="Times New Roman" w:cs="Times New Roman"/>
          <w:lang w:val="zh-CN"/>
        </w:rPr>
        <w:t>经费支出。截止20</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lang w:val="zh-CN"/>
        </w:rPr>
        <w:t>年1</w:t>
      </w:r>
      <w:r>
        <w:rPr>
          <w:rFonts w:hint="default" w:ascii="Times New Roman" w:hAnsi="Times New Roman" w:cs="Times New Roman"/>
        </w:rPr>
        <w:t>2</w:t>
      </w:r>
      <w:r>
        <w:rPr>
          <w:rFonts w:hint="default" w:ascii="Times New Roman" w:hAnsi="Times New Roman" w:cs="Times New Roman"/>
          <w:lang w:val="zh-CN"/>
        </w:rPr>
        <w:t>月</w:t>
      </w:r>
      <w:r>
        <w:rPr>
          <w:rFonts w:hint="default" w:ascii="Times New Roman" w:hAnsi="Times New Roman" w:cs="Times New Roman"/>
        </w:rPr>
        <w:t>31</w:t>
      </w:r>
      <w:r>
        <w:rPr>
          <w:rFonts w:hint="default" w:ascii="Times New Roman" w:hAnsi="Times New Roman" w:cs="Times New Roman"/>
          <w:lang w:val="zh-CN"/>
        </w:rPr>
        <w:t>日，文联活动专项经费实际支出</w:t>
      </w:r>
      <w:r>
        <w:rPr>
          <w:rFonts w:hint="eastAsia"/>
          <w:lang w:val="en-US" w:eastAsia="zh-CN"/>
        </w:rPr>
        <w:t>12.5</w:t>
      </w:r>
      <w:r>
        <w:rPr>
          <w:rFonts w:hint="default" w:ascii="Times New Roman" w:hAnsi="Times New Roman" w:cs="Times New Roman"/>
          <w:lang w:val="en-US" w:eastAsia="zh-CN"/>
        </w:rPr>
        <w:t>万</w:t>
      </w:r>
      <w:r>
        <w:rPr>
          <w:rFonts w:hint="default" w:ascii="Times New Roman" w:hAnsi="Times New Roman" w:cs="Times New Roman"/>
          <w:lang w:val="zh-CN"/>
        </w:rPr>
        <w:t>元，资金利用率达</w:t>
      </w:r>
      <w:r>
        <w:rPr>
          <w:rFonts w:hint="eastAsia" w:cs="Times New Roman"/>
          <w:lang w:val="en-US" w:eastAsia="zh-CN"/>
        </w:rPr>
        <w:t>100</w:t>
      </w:r>
      <w:r>
        <w:rPr>
          <w:rFonts w:hint="default" w:ascii="Times New Roman" w:hAnsi="Times New Roman" w:cs="Times New Roman"/>
          <w:lang w:val="zh-CN"/>
        </w:rPr>
        <w:t>%，文联活动专项经费开支范围、标准及支付进度、支付依据等均合规合法。</w:t>
      </w:r>
    </w:p>
    <w:p>
      <w:pPr>
        <w:widowControl w:val="0"/>
        <w:numPr>
          <w:ilvl w:val="0"/>
          <w:numId w:val="0"/>
        </w:numPr>
        <w:wordWrap/>
        <w:adjustRightInd w:val="0"/>
        <w:snapToGrid w:val="0"/>
        <w:spacing w:before="0" w:after="0" w:line="580" w:lineRule="exact"/>
        <w:ind w:left="0" w:leftChars="0" w:right="0" w:firstLine="640" w:firstLineChars="200"/>
        <w:textAlignment w:val="auto"/>
        <w:outlineLvl w:val="9"/>
        <w:rPr>
          <w:rFonts w:hint="default" w:ascii="Times New Roman" w:hAnsi="Times New Roman" w:eastAsia="方正楷体简体" w:cs="Times New Roman"/>
          <w:b w:val="0"/>
          <w:bCs w:val="0"/>
        </w:rPr>
      </w:pPr>
      <w:r>
        <w:rPr>
          <w:rFonts w:hint="default" w:ascii="Times New Roman" w:hAnsi="Times New Roman" w:eastAsia="方正楷体简体" w:cs="Times New Roman"/>
          <w:b w:val="0"/>
          <w:bCs w:val="0"/>
          <w:lang w:val="en-US" w:eastAsia="zh-CN"/>
        </w:rPr>
        <w:t>（三）</w:t>
      </w:r>
      <w:r>
        <w:rPr>
          <w:rFonts w:hint="default" w:ascii="Times New Roman" w:hAnsi="Times New Roman" w:eastAsia="方正楷体简体" w:cs="Times New Roman"/>
          <w:b w:val="0"/>
          <w:bCs w:val="0"/>
        </w:rPr>
        <w:t>项目</w:t>
      </w:r>
      <w:r>
        <w:rPr>
          <w:rFonts w:hint="default" w:ascii="Times New Roman" w:hAnsi="Times New Roman" w:eastAsia="方正楷体简体" w:cs="Times New Roman"/>
          <w:b w:val="0"/>
          <w:bCs w:val="0"/>
          <w:lang w:eastAsia="zh-CN"/>
        </w:rPr>
        <w:t>计划内容及</w:t>
      </w:r>
      <w:r>
        <w:rPr>
          <w:rFonts w:hint="default" w:ascii="Times New Roman" w:hAnsi="Times New Roman" w:eastAsia="方正楷体简体" w:cs="Times New Roman"/>
          <w:b w:val="0"/>
          <w:bCs w:val="0"/>
        </w:rPr>
        <w:t>实施情况</w:t>
      </w:r>
    </w:p>
    <w:p>
      <w:pPr>
        <w:widowControl w:val="0"/>
        <w:numPr>
          <w:ilvl w:val="0"/>
          <w:numId w:val="0"/>
        </w:numPr>
        <w:wordWrap/>
        <w:adjustRightInd w:val="0"/>
        <w:snapToGrid w:val="0"/>
        <w:spacing w:before="0" w:after="0" w:line="580" w:lineRule="exact"/>
        <w:ind w:left="0" w:leftChars="0" w:right="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lang w:eastAsia="zh-CN"/>
        </w:rPr>
        <w:t>凝聚文艺力量，</w:t>
      </w:r>
      <w:r>
        <w:rPr>
          <w:rFonts w:hint="default" w:ascii="Times New Roman" w:hAnsi="Times New Roman" w:eastAsia="仿宋_GB2312" w:cs="Times New Roman"/>
          <w:b w:val="0"/>
          <w:bCs w:val="0"/>
          <w:sz w:val="32"/>
          <w:szCs w:val="32"/>
          <w:lang w:val="en-US" w:eastAsia="zh-CN"/>
        </w:rPr>
        <w:t>助力抗疫引导宣传。抗疫期间，号召全市广大文艺工作者利用微信、抖音、快手、今日头条等平台开展“战胜疫情天水文艺界在行动”，共举办文艺界战疫</w:t>
      </w:r>
      <w:r>
        <w:rPr>
          <w:rFonts w:hint="default" w:ascii="Times New Roman" w:hAnsi="Times New Roman" w:eastAsia="仿宋_GB2312" w:cs="Times New Roman"/>
          <w:sz w:val="32"/>
          <w:szCs w:val="32"/>
          <w:lang w:val="en-US" w:eastAsia="zh-CN"/>
        </w:rPr>
        <w:t>情主题作品展60余场次，7个县区文联、11个市级文艺家协会先后创作主题作品3000余件，参与文艺家500余人次。文学、美术、书法、戏曲、音乐、摄影、曲艺、影视、民间文艺等艺术门类线上活动异常活跃，秦腔唱段、国画、诗歌、歌曲、短视频等类型作品在网络推出后，群众反响热烈，取得了强信心、暖人心、聚民心的宣传效果。</w:t>
      </w:r>
    </w:p>
    <w:p>
      <w:pPr>
        <w:widowControl w:val="0"/>
        <w:wordWrap/>
        <w:adjustRightInd w:val="0"/>
        <w:snapToGrid w:val="0"/>
        <w:spacing w:before="0" w:after="0" w:line="580" w:lineRule="exact"/>
        <w:ind w:left="0" w:leftChars="0" w:right="0" w:firstLine="643" w:firstLineChars="200"/>
        <w:textAlignment w:val="auto"/>
        <w:outlineLvl w:val="9"/>
        <w:rPr>
          <w:rFonts w:hint="default" w:ascii="Times New Roman" w:hAnsi="Times New Roman" w:cs="Times New Roman"/>
          <w:lang w:eastAsia="zh-CN"/>
        </w:rPr>
      </w:pPr>
      <w:r>
        <w:rPr>
          <w:rFonts w:hint="default" w:ascii="Times New Roman" w:hAnsi="Times New Roman" w:cs="Times New Roman"/>
          <w:b/>
          <w:bCs/>
          <w:lang w:val="en-US" w:eastAsia="zh-CN"/>
        </w:rPr>
        <w:t>2.</w:t>
      </w:r>
      <w:r>
        <w:rPr>
          <w:rFonts w:hint="default" w:ascii="Times New Roman" w:hAnsi="Times New Roman" w:cs="Times New Roman"/>
          <w:b/>
          <w:bCs/>
        </w:rPr>
        <w:t>协会活动</w:t>
      </w:r>
      <w:r>
        <w:rPr>
          <w:rFonts w:hint="default" w:ascii="Times New Roman" w:hAnsi="Times New Roman" w:cs="Times New Roman"/>
          <w:b/>
          <w:bCs/>
          <w:lang w:eastAsia="zh-CN"/>
        </w:rPr>
        <w:t>及协会建设</w:t>
      </w:r>
      <w:r>
        <w:rPr>
          <w:rFonts w:hint="default" w:ascii="Times New Roman" w:hAnsi="Times New Roman" w:cs="Times New Roman"/>
          <w:b/>
          <w:bCs/>
        </w:rPr>
        <w:t>。</w:t>
      </w:r>
      <w:r>
        <w:rPr>
          <w:rFonts w:hint="default" w:ascii="Times New Roman" w:hAnsi="Times New Roman" w:cs="Times New Roman"/>
        </w:rPr>
        <w:t>各文艺家协会开展文艺“六进”惠民活动</w:t>
      </w:r>
      <w:r>
        <w:rPr>
          <w:rFonts w:hint="default" w:ascii="Times New Roman" w:hAnsi="Times New Roman" w:cs="Times New Roman"/>
          <w:lang w:val="en-US" w:eastAsia="zh-CN"/>
        </w:rPr>
        <w:t>10</w:t>
      </w:r>
      <w:r>
        <w:rPr>
          <w:rFonts w:hint="default" w:ascii="Times New Roman" w:hAnsi="Times New Roman" w:cs="Times New Roman"/>
        </w:rPr>
        <w:t>余场/次，组织文艺家与省内外文联团体、文艺家开展文艺交流</w:t>
      </w:r>
      <w:r>
        <w:rPr>
          <w:rFonts w:hint="default" w:ascii="Times New Roman" w:hAnsi="Times New Roman" w:cs="Times New Roman"/>
          <w:lang w:val="en-US" w:eastAsia="zh-CN"/>
        </w:rPr>
        <w:t>5</w:t>
      </w:r>
      <w:r>
        <w:rPr>
          <w:rFonts w:hint="default" w:ascii="Times New Roman" w:hAnsi="Times New Roman" w:cs="Times New Roman"/>
        </w:rPr>
        <w:t>余场/次，组织各门类文艺家开展文艺采风调研活动6次。</w:t>
      </w:r>
      <w:r>
        <w:rPr>
          <w:rFonts w:hint="default" w:ascii="Times New Roman" w:hAnsi="Times New Roman" w:cs="Times New Roman"/>
          <w:lang w:eastAsia="zh-CN"/>
        </w:rPr>
        <w:t>组织文艺志愿者小分队积极参与文艺“六进”活动，开展脱贫攻坚慰问演出，送书画、送文艺下乡进社区，书法、戏剧进校园、进军营和创建全国文明城市志愿者在行动等。</w:t>
      </w:r>
    </w:p>
    <w:p>
      <w:pPr>
        <w:widowControl w:val="0"/>
        <w:wordWrap/>
        <w:adjustRightInd w:val="0"/>
        <w:snapToGrid w:val="0"/>
        <w:spacing w:before="0" w:after="0" w:line="580" w:lineRule="exact"/>
        <w:ind w:left="0" w:leftChars="0" w:right="0" w:firstLine="643" w:firstLineChars="200"/>
        <w:textAlignment w:val="auto"/>
        <w:outlineLvl w:val="9"/>
        <w:rPr>
          <w:rFonts w:hint="default" w:ascii="Times New Roman" w:hAnsi="Times New Roman" w:cs="Times New Roman"/>
          <w:b/>
          <w:bCs/>
        </w:rPr>
      </w:pPr>
      <w:r>
        <w:rPr>
          <w:rFonts w:hint="default" w:ascii="Times New Roman" w:hAnsi="Times New Roman" w:cs="Times New Roman"/>
          <w:b/>
          <w:bCs/>
          <w:lang w:val="en-US" w:eastAsia="zh-CN"/>
        </w:rPr>
        <w:t>3.</w:t>
      </w:r>
      <w:r>
        <w:rPr>
          <w:rFonts w:hint="default" w:ascii="Times New Roman" w:hAnsi="Times New Roman" w:cs="Times New Roman"/>
          <w:b/>
          <w:bCs/>
        </w:rPr>
        <w:t>刊物印发</w:t>
      </w:r>
      <w:r>
        <w:rPr>
          <w:rFonts w:hint="default" w:ascii="Times New Roman" w:hAnsi="Times New Roman" w:cs="Times New Roman"/>
          <w:b/>
          <w:bCs/>
          <w:lang w:eastAsia="zh-CN"/>
        </w:rPr>
        <w:t>和网站维护</w:t>
      </w:r>
      <w:r>
        <w:rPr>
          <w:rFonts w:hint="default" w:ascii="Times New Roman" w:hAnsi="Times New Roman" w:cs="Times New Roman"/>
          <w:b/>
          <w:bCs/>
        </w:rPr>
        <w:t>。</w:t>
      </w:r>
      <w:r>
        <w:rPr>
          <w:rFonts w:hint="default" w:ascii="Times New Roman" w:hAnsi="Times New Roman" w:cs="Times New Roman"/>
          <w:lang w:val="zh-CN"/>
        </w:rPr>
        <w:t>进一步加强了天水文艺网和《天水文学》两大意识形态阵地的管理，确保了网站正常运转。《天水文学》全年出刊</w:t>
      </w:r>
      <w:r>
        <w:rPr>
          <w:rFonts w:hint="default" w:ascii="Times New Roman" w:hAnsi="Times New Roman" w:cs="Times New Roman"/>
        </w:rPr>
        <w:t>4期，刊登散文、诗歌、小说200余篇（首）。</w:t>
      </w:r>
    </w:p>
    <w:p>
      <w:pPr>
        <w:widowControl w:val="0"/>
        <w:wordWrap/>
        <w:adjustRightInd w:val="0"/>
        <w:snapToGrid w:val="0"/>
        <w:spacing w:before="0" w:after="0" w:line="580" w:lineRule="exact"/>
        <w:ind w:right="0" w:firstLine="643" w:firstLineChars="200"/>
        <w:textAlignment w:val="auto"/>
        <w:outlineLvl w:val="9"/>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（四）项目组织管理</w:t>
      </w:r>
    </w:p>
    <w:p>
      <w:pPr>
        <w:widowControl w:val="0"/>
        <w:wordWrap/>
        <w:adjustRightInd w:val="0"/>
        <w:snapToGrid w:val="0"/>
        <w:spacing w:before="0" w:after="0" w:line="580" w:lineRule="exact"/>
        <w:ind w:right="0" w:firstLine="642"/>
        <w:textAlignment w:val="auto"/>
        <w:outlineLvl w:val="9"/>
        <w:rPr>
          <w:rFonts w:hint="default" w:ascii="Times New Roman" w:hAnsi="Times New Roman" w:eastAsia="仿宋_GB2312" w:cs="Times New Roman"/>
          <w:lang w:eastAsia="zh-CN"/>
        </w:rPr>
      </w:pPr>
      <w:r>
        <w:rPr>
          <w:rFonts w:hint="default" w:ascii="Times New Roman" w:hAnsi="Times New Roman" w:cs="Times New Roman"/>
          <w:spacing w:val="6"/>
        </w:rPr>
        <w:t>市文</w:t>
      </w:r>
      <w:r>
        <w:rPr>
          <w:rFonts w:hint="default" w:ascii="Times New Roman" w:hAnsi="Times New Roman" w:cs="Times New Roman"/>
          <w:spacing w:val="6"/>
          <w:lang w:val="zh-CN"/>
        </w:rPr>
        <w:t>联项目资金严格按照财务收支业务管理制度和预算管理制度管理，项目经费均按照项目计划安排和实际工作情况开支。</w:t>
      </w:r>
      <w:r>
        <w:rPr>
          <w:rFonts w:hint="default" w:ascii="Times New Roman" w:hAnsi="Times New Roman" w:cs="Times New Roman"/>
          <w:spacing w:val="6"/>
          <w:lang w:val="zh-CN" w:eastAsia="zh-CN"/>
        </w:rPr>
        <w:t>该项目分三步推进</w:t>
      </w:r>
      <w:r>
        <w:rPr>
          <w:rFonts w:hint="default" w:ascii="Times New Roman" w:hAnsi="Times New Roman" w:cs="Times New Roman"/>
          <w:spacing w:val="6"/>
          <w:lang w:val="en-US" w:eastAsia="zh-CN"/>
        </w:rPr>
        <w:t>:</w:t>
      </w:r>
      <w:r>
        <w:rPr>
          <w:rFonts w:hint="default" w:ascii="Times New Roman" w:hAnsi="Times New Roman" w:cs="Times New Roman"/>
          <w:spacing w:val="6"/>
          <w:lang w:val="zh-CN"/>
        </w:rPr>
        <w:t>(</w:t>
      </w:r>
      <w:r>
        <w:rPr>
          <w:rFonts w:hint="default" w:ascii="Times New Roman" w:hAnsi="Times New Roman" w:cs="Times New Roman"/>
          <w:spacing w:val="6"/>
          <w:lang w:val="zh-CN" w:eastAsia="zh-CN"/>
        </w:rPr>
        <w:t>由市文联各科室和市级各文艺家协会提出年度工作计划和活动计划，并提交</w:t>
      </w:r>
      <w:r>
        <w:rPr>
          <w:rFonts w:hint="default" w:ascii="Times New Roman" w:hAnsi="Times New Roman" w:cs="Times New Roman"/>
          <w:spacing w:val="6"/>
          <w:lang w:val="zh-CN"/>
        </w:rPr>
        <w:t>市文联主席办公会议</w:t>
      </w:r>
      <w:r>
        <w:rPr>
          <w:rFonts w:hint="default" w:ascii="Times New Roman" w:hAnsi="Times New Roman" w:cs="Times New Roman"/>
          <w:spacing w:val="6"/>
          <w:lang w:val="zh-CN" w:eastAsia="zh-CN"/>
        </w:rPr>
        <w:t>审议。</w:t>
      </w:r>
      <w:r>
        <w:rPr>
          <w:rFonts w:hint="default" w:ascii="Times New Roman" w:hAnsi="Times New Roman" w:cs="Times New Roman"/>
          <w:spacing w:val="6"/>
          <w:lang w:val="zh-CN"/>
        </w:rPr>
        <w:t>(通过市文联主席办公会议</w:t>
      </w:r>
      <w:r>
        <w:rPr>
          <w:rFonts w:hint="default" w:ascii="Times New Roman" w:hAnsi="Times New Roman" w:cs="Times New Roman"/>
          <w:spacing w:val="6"/>
          <w:lang w:val="zh-CN" w:eastAsia="zh-CN"/>
        </w:rPr>
        <w:t>对活动的科学性、可行性、预期效果进行研讨分析。</w:t>
      </w:r>
      <w:r>
        <w:rPr>
          <w:rFonts w:hint="default" w:ascii="Times New Roman" w:hAnsi="Times New Roman" w:cs="Times New Roman"/>
          <w:spacing w:val="6"/>
          <w:lang w:val="zh-CN"/>
        </w:rPr>
        <w:t>(</w:t>
      </w:r>
      <w:r>
        <w:rPr>
          <w:rFonts w:hint="default" w:ascii="Times New Roman" w:hAnsi="Times New Roman" w:cs="Times New Roman"/>
          <w:spacing w:val="6"/>
          <w:lang w:val="zh-CN" w:eastAsia="zh-CN"/>
        </w:rPr>
        <w:t>由相关科室和协会制定活动方案，并按照方案开展活动。</w:t>
      </w:r>
      <w:r>
        <w:rPr>
          <w:rFonts w:hint="default" w:ascii="Times New Roman" w:hAnsi="Times New Roman" w:cs="Times New Roman"/>
          <w:spacing w:val="6"/>
        </w:rPr>
        <w:t>市文联所有项目坚持文联党组集体讨论决定，一把手负总责，分管领导牵头开展，相关科室具体实施的管理方法。</w:t>
      </w:r>
      <w:r>
        <w:rPr>
          <w:rFonts w:hint="default" w:ascii="Times New Roman" w:hAnsi="Times New Roman" w:cs="Times New Roman"/>
          <w:spacing w:val="6"/>
          <w:lang w:val="zh-CN"/>
        </w:rPr>
        <w:t>文联业务工作主要由下设科室：综合科、组联科、创研室等</w:t>
      </w:r>
      <w:r>
        <w:rPr>
          <w:rFonts w:hint="default" w:ascii="Times New Roman" w:hAnsi="Times New Roman" w:cs="Times New Roman"/>
          <w:spacing w:val="6"/>
        </w:rPr>
        <w:t>3</w:t>
      </w:r>
      <w:r>
        <w:rPr>
          <w:rFonts w:hint="default" w:ascii="Times New Roman" w:hAnsi="Times New Roman" w:cs="Times New Roman"/>
          <w:spacing w:val="6"/>
          <w:lang w:val="zh-CN"/>
        </w:rPr>
        <w:t>个科室负责实施，</w:t>
      </w:r>
      <w:r>
        <w:rPr>
          <w:rFonts w:hint="default" w:ascii="Times New Roman" w:hAnsi="Times New Roman" w:cs="Times New Roman"/>
          <w:spacing w:val="6"/>
          <w:lang w:eastAsia="zh-CN"/>
        </w:rPr>
        <w:t>所有项目严格按照活动实施流程进</w:t>
      </w:r>
      <w:r>
        <w:rPr>
          <w:rFonts w:hint="default" w:ascii="Times New Roman" w:hAnsi="Times New Roman" w:cs="Times New Roman"/>
          <w:lang w:eastAsia="zh-CN"/>
        </w:rPr>
        <w:t>行。具体</w:t>
      </w:r>
      <w:r>
        <w:rPr>
          <w:rFonts w:hint="default" w:ascii="Times New Roman" w:hAnsi="Times New Roman" w:cs="Times New Roman"/>
          <w:lang w:val="zh-CN"/>
        </w:rPr>
        <w:t>活动实施的流程：</w:t>
      </w:r>
      <w:r>
        <w:rPr>
          <w:rFonts w:hint="default" w:ascii="Times New Roman" w:hAnsi="Times New Roman" w:cs="Times New Roman"/>
          <w:lang w:val="zh-CN"/>
        </w:rPr>
        <w:sym w:font="Wingdings" w:char="F081"/>
      </w:r>
      <w:r>
        <w:rPr>
          <w:rFonts w:hint="default" w:ascii="Times New Roman" w:hAnsi="Times New Roman" w:cs="Times New Roman"/>
          <w:lang w:val="zh-CN"/>
        </w:rPr>
        <w:t>由各科室提出年度工作计划；</w:t>
      </w:r>
      <w:r>
        <w:rPr>
          <w:rFonts w:hint="default" w:ascii="Times New Roman" w:hAnsi="Times New Roman" w:cs="Times New Roman"/>
          <w:lang w:val="zh-CN"/>
        </w:rPr>
        <w:sym w:font="Wingdings" w:char="F082"/>
      </w:r>
      <w:r>
        <w:rPr>
          <w:rFonts w:hint="default" w:ascii="Times New Roman" w:hAnsi="Times New Roman" w:cs="Times New Roman"/>
          <w:lang w:val="zh-CN"/>
        </w:rPr>
        <w:t>上报市文联主席办公会议审定；</w:t>
      </w:r>
      <w:r>
        <w:rPr>
          <w:rFonts w:hint="default" w:ascii="Times New Roman" w:hAnsi="Times New Roman" w:cs="Times New Roman"/>
          <w:lang w:val="zh-CN"/>
        </w:rPr>
        <w:sym w:font="Wingdings" w:char="F083"/>
      </w:r>
      <w:r>
        <w:rPr>
          <w:rFonts w:hint="default" w:ascii="Times New Roman" w:hAnsi="Times New Roman" w:cs="Times New Roman"/>
          <w:lang w:val="zh-CN"/>
        </w:rPr>
        <w:t>各科室根据活动方案，具体负责活动开展，分管领导负责监督督促落实；④财务室根据文联活动落实情况，核算支出费用；⑤办公室审核，分管领导审批。</w:t>
      </w:r>
    </w:p>
    <w:p>
      <w:pPr>
        <w:widowControl w:val="0"/>
        <w:wordWrap/>
        <w:adjustRightInd w:val="0"/>
        <w:snapToGrid w:val="0"/>
        <w:spacing w:before="0" w:after="0" w:line="580" w:lineRule="exact"/>
        <w:ind w:right="0" w:firstLine="720"/>
        <w:textAlignment w:val="auto"/>
        <w:outlineLvl w:val="9"/>
        <w:rPr>
          <w:rFonts w:hint="default" w:ascii="Times New Roman" w:hAnsi="Times New Roman" w:eastAsia="黑体" w:cs="Times New Roman"/>
          <w:b w:val="0"/>
          <w:bCs w:val="0"/>
          <w:kern w:val="0"/>
          <w:lang w:eastAsia="zh-CN"/>
        </w:rPr>
      </w:pPr>
      <w:r>
        <w:rPr>
          <w:rFonts w:hint="default" w:ascii="Times New Roman" w:hAnsi="Times New Roman" w:eastAsia="黑体" w:cs="Times New Roman"/>
          <w:b w:val="0"/>
          <w:bCs w:val="0"/>
          <w:kern w:val="0"/>
          <w:lang w:eastAsia="zh-CN"/>
        </w:rPr>
        <w:t>二、</w:t>
      </w:r>
      <w:r>
        <w:rPr>
          <w:rFonts w:hint="default" w:ascii="Times New Roman" w:hAnsi="Times New Roman" w:eastAsia="黑体" w:cs="Times New Roman"/>
          <w:b w:val="0"/>
          <w:bCs w:val="0"/>
          <w:kern w:val="0"/>
        </w:rPr>
        <w:t>项目绩效目标</w:t>
      </w:r>
    </w:p>
    <w:p>
      <w:pPr>
        <w:widowControl w:val="0"/>
        <w:wordWrap/>
        <w:adjustRightInd w:val="0"/>
        <w:snapToGrid w:val="0"/>
        <w:spacing w:before="0" w:after="0" w:line="580" w:lineRule="exact"/>
        <w:ind w:right="0" w:firstLine="720"/>
        <w:textAlignment w:val="auto"/>
        <w:outlineLvl w:val="9"/>
        <w:rPr>
          <w:rFonts w:hint="default" w:ascii="Times New Roman" w:hAnsi="Times New Roman" w:cs="Times New Roman"/>
          <w:spacing w:val="6"/>
          <w:lang w:val="zh-CN"/>
        </w:rPr>
      </w:pPr>
      <w:r>
        <w:rPr>
          <w:rFonts w:hint="default" w:ascii="Times New Roman" w:hAnsi="Times New Roman" w:cs="Times New Roman"/>
          <w:spacing w:val="6"/>
        </w:rPr>
        <w:t>该项目实施的主要目的是团结带领</w:t>
      </w:r>
      <w:r>
        <w:rPr>
          <w:rFonts w:hint="default" w:ascii="Times New Roman" w:hAnsi="Times New Roman" w:cs="Times New Roman"/>
          <w:spacing w:val="6"/>
          <w:lang w:eastAsia="zh-CN"/>
        </w:rPr>
        <w:t>全市</w:t>
      </w:r>
      <w:r>
        <w:rPr>
          <w:rFonts w:hint="default" w:ascii="Times New Roman" w:hAnsi="Times New Roman" w:cs="Times New Roman"/>
          <w:spacing w:val="6"/>
        </w:rPr>
        <w:t>文学艺术家紧紧围绕市委中心工作认真贯彻党的文艺工作方针政策</w:t>
      </w:r>
      <w:r>
        <w:rPr>
          <w:rFonts w:hint="default" w:ascii="Times New Roman" w:hAnsi="Times New Roman" w:cs="Times New Roman"/>
          <w:spacing w:val="6"/>
          <w:lang w:eastAsia="zh-CN"/>
        </w:rPr>
        <w:t>，</w:t>
      </w:r>
      <w:r>
        <w:rPr>
          <w:rFonts w:hint="default" w:ascii="Times New Roman" w:hAnsi="Times New Roman" w:cs="Times New Roman"/>
          <w:spacing w:val="6"/>
        </w:rPr>
        <w:t>积极开展文艺创作，发掘开发文化资源和文化产业，</w:t>
      </w:r>
      <w:r>
        <w:rPr>
          <w:rFonts w:hint="default" w:ascii="Times New Roman" w:hAnsi="Times New Roman" w:cs="Times New Roman"/>
          <w:spacing w:val="6"/>
          <w:lang w:val="zh-CN"/>
        </w:rPr>
        <w:t>发现和培养文艺人才，不断壮大我市文艺工作者队伍。积极开展导向示范性文艺活动，</w:t>
      </w:r>
      <w:r>
        <w:rPr>
          <w:rFonts w:hint="default" w:ascii="Times New Roman" w:hAnsi="Times New Roman" w:cs="Times New Roman"/>
          <w:spacing w:val="6"/>
        </w:rPr>
        <w:t>不断活跃和丰富人民群众精神文化生活</w:t>
      </w:r>
      <w:r>
        <w:rPr>
          <w:rFonts w:hint="default" w:ascii="Times New Roman" w:hAnsi="Times New Roman" w:cs="Times New Roman"/>
          <w:spacing w:val="6"/>
          <w:lang w:eastAsia="zh-CN"/>
        </w:rPr>
        <w:t>。</w:t>
      </w:r>
      <w:r>
        <w:rPr>
          <w:rFonts w:hint="default" w:ascii="Times New Roman" w:hAnsi="Times New Roman" w:cs="Times New Roman"/>
          <w:spacing w:val="6"/>
        </w:rPr>
        <w:t>深入生活</w:t>
      </w:r>
      <w:r>
        <w:rPr>
          <w:rFonts w:hint="default" w:ascii="Times New Roman" w:hAnsi="Times New Roman" w:cs="Times New Roman"/>
          <w:spacing w:val="6"/>
          <w:lang w:eastAsia="zh-CN"/>
        </w:rPr>
        <w:t>、</w:t>
      </w:r>
      <w:r>
        <w:rPr>
          <w:rFonts w:hint="default" w:ascii="Times New Roman" w:hAnsi="Times New Roman" w:cs="Times New Roman"/>
          <w:spacing w:val="6"/>
        </w:rPr>
        <w:t>扎根人民，</w:t>
      </w:r>
      <w:r>
        <w:rPr>
          <w:rFonts w:hint="default" w:ascii="Times New Roman" w:hAnsi="Times New Roman" w:cs="Times New Roman"/>
          <w:spacing w:val="6"/>
          <w:lang w:eastAsia="zh-CN"/>
        </w:rPr>
        <w:t>通过开展</w:t>
      </w:r>
      <w:r>
        <w:rPr>
          <w:rFonts w:hint="default" w:ascii="Times New Roman" w:hAnsi="Times New Roman" w:cs="Times New Roman"/>
          <w:spacing w:val="6"/>
        </w:rPr>
        <w:t>文艺“六进”惠民活动</w:t>
      </w:r>
      <w:r>
        <w:rPr>
          <w:rFonts w:hint="default" w:ascii="Times New Roman" w:hAnsi="Times New Roman" w:cs="Times New Roman"/>
          <w:spacing w:val="6"/>
          <w:lang w:eastAsia="zh-CN"/>
        </w:rPr>
        <w:t>，不断提高群众的文化获得感和幸福感，</w:t>
      </w:r>
      <w:r>
        <w:rPr>
          <w:rFonts w:hint="default" w:ascii="Times New Roman" w:hAnsi="Times New Roman" w:cs="Times New Roman"/>
          <w:spacing w:val="6"/>
          <w:lang w:val="zh-CN"/>
        </w:rPr>
        <w:t>推动我市文艺事业繁荣发展，</w:t>
      </w:r>
      <w:r>
        <w:rPr>
          <w:rFonts w:hint="default" w:ascii="Times New Roman" w:hAnsi="Times New Roman" w:cs="Times New Roman"/>
          <w:spacing w:val="6"/>
        </w:rPr>
        <w:t>为建设和谐文明新天水做贡献。</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eastAsia="黑体" w:cs="Times New Roman"/>
          <w:lang w:val="zh-CN"/>
        </w:rPr>
      </w:pPr>
      <w:r>
        <w:rPr>
          <w:rFonts w:hint="default" w:ascii="Times New Roman" w:hAnsi="Times New Roman" w:eastAsia="黑体" w:cs="Times New Roman"/>
          <w:lang w:val="zh-CN"/>
        </w:rPr>
        <w:t>三、评价基本情况</w:t>
      </w:r>
    </w:p>
    <w:p>
      <w:pPr>
        <w:widowControl w:val="0"/>
        <w:wordWrap/>
        <w:overflowPunct w:val="0"/>
        <w:spacing w:before="0" w:after="0" w:line="580" w:lineRule="exact"/>
        <w:ind w:right="0" w:firstLine="643" w:firstLineChars="200"/>
        <w:textAlignment w:val="auto"/>
        <w:outlineLvl w:val="9"/>
        <w:rPr>
          <w:rFonts w:hint="default" w:ascii="Times New Roman" w:hAnsi="Times New Roman" w:eastAsia="楷体_GB2312" w:cs="Times New Roman"/>
          <w:b/>
          <w:bCs/>
          <w:lang w:val="zh-CN"/>
        </w:rPr>
      </w:pPr>
      <w:r>
        <w:rPr>
          <w:rFonts w:hint="default" w:ascii="Times New Roman" w:hAnsi="Times New Roman" w:eastAsia="楷体_GB2312" w:cs="Times New Roman"/>
          <w:b/>
          <w:bCs/>
          <w:lang w:val="zh-CN"/>
        </w:rPr>
        <w:t>（一）绩效评价目的、对象和范围</w:t>
      </w:r>
    </w:p>
    <w:p>
      <w:pPr>
        <w:widowControl w:val="0"/>
        <w:wordWrap/>
        <w:adjustRightInd w:val="0"/>
        <w:snapToGrid w:val="0"/>
        <w:spacing w:before="0" w:after="0" w:line="580" w:lineRule="exact"/>
        <w:ind w:right="0" w:firstLine="642"/>
        <w:textAlignment w:val="auto"/>
        <w:outlineLvl w:val="9"/>
        <w:rPr>
          <w:rFonts w:hint="default" w:ascii="Times New Roman" w:hAnsi="Times New Roman" w:cs="Times New Roman"/>
          <w:lang w:val="zh-CN"/>
        </w:rPr>
      </w:pPr>
      <w:r>
        <w:rPr>
          <w:rFonts w:hint="default" w:ascii="Times New Roman" w:hAnsi="Times New Roman" w:cs="Times New Roman"/>
          <w:lang w:val="zh-CN"/>
        </w:rPr>
        <w:t>按照项目决策、管理、完成及效果四类指标，对项目资金支出行为过程及其效果进行综合评价和判断，评价资金使用的科学性，合理性和有效性，分析存在的问题，提出完善资金管理和项目管理的制度机制，调整支出结构相关建议，为进一步推动工作落实提供参考依据，促进资金使用效益。</w:t>
      </w:r>
    </w:p>
    <w:p>
      <w:pPr>
        <w:widowControl w:val="0"/>
        <w:numPr>
          <w:ilvl w:val="0"/>
          <w:numId w:val="1"/>
        </w:numPr>
        <w:tabs>
          <w:tab w:val="left" w:pos="1212"/>
        </w:tabs>
        <w:wordWrap/>
        <w:overflowPunct w:val="0"/>
        <w:spacing w:before="0" w:after="0" w:line="580" w:lineRule="exact"/>
        <w:ind w:left="720" w:leftChars="0" w:right="0"/>
        <w:textAlignment w:val="auto"/>
        <w:outlineLvl w:val="9"/>
        <w:rPr>
          <w:rFonts w:hint="default" w:ascii="Times New Roman" w:hAnsi="Times New Roman" w:eastAsia="楷体_GB2312" w:cs="Times New Roman"/>
          <w:b/>
          <w:bCs/>
          <w:lang w:val="zh-CN"/>
        </w:rPr>
      </w:pPr>
      <w:r>
        <w:rPr>
          <w:rFonts w:hint="default" w:ascii="Times New Roman" w:hAnsi="Times New Roman" w:eastAsia="楷体_GB2312" w:cs="Times New Roman"/>
          <w:b/>
          <w:bCs/>
          <w:lang w:val="zh-CN"/>
        </w:rPr>
        <w:t>绩效评价原则、评价指标体系、评价方法、评价标</w:t>
      </w:r>
    </w:p>
    <w:p>
      <w:pPr>
        <w:widowControl w:val="0"/>
        <w:numPr>
          <w:ilvl w:val="0"/>
          <w:numId w:val="0"/>
        </w:numPr>
        <w:tabs>
          <w:tab w:val="left" w:pos="1212"/>
        </w:tabs>
        <w:wordWrap/>
        <w:overflowPunct w:val="0"/>
        <w:spacing w:before="0" w:after="0" w:line="580" w:lineRule="exact"/>
        <w:ind w:right="0"/>
        <w:textAlignment w:val="auto"/>
        <w:outlineLvl w:val="9"/>
        <w:rPr>
          <w:rFonts w:hint="default" w:ascii="Times New Roman" w:hAnsi="Times New Roman" w:eastAsia="楷体_GB2312" w:cs="Times New Roman"/>
          <w:b/>
          <w:bCs/>
          <w:lang w:val="zh-CN"/>
        </w:rPr>
      </w:pPr>
      <w:r>
        <w:rPr>
          <w:rFonts w:hint="default" w:ascii="Times New Roman" w:hAnsi="Times New Roman" w:eastAsia="楷体_GB2312" w:cs="Times New Roman"/>
          <w:b/>
          <w:bCs/>
          <w:lang w:val="zh-CN"/>
        </w:rPr>
        <w:t>准等</w:t>
      </w:r>
    </w:p>
    <w:p>
      <w:pPr>
        <w:widowControl w:val="0"/>
        <w:wordWrap/>
        <w:adjustRightInd w:val="0"/>
        <w:snapToGrid w:val="0"/>
        <w:spacing w:before="0" w:after="0" w:line="580" w:lineRule="exact"/>
        <w:ind w:right="0" w:firstLine="642"/>
        <w:textAlignment w:val="auto"/>
        <w:outlineLvl w:val="9"/>
        <w:rPr>
          <w:rFonts w:hint="default" w:ascii="Times New Roman" w:hAnsi="Times New Roman" w:cs="Times New Roman"/>
          <w:spacing w:val="-6"/>
          <w:u w:val="none"/>
          <w:lang w:val="en-US" w:eastAsia="zh-CN"/>
        </w:rPr>
      </w:pPr>
      <w:r>
        <w:rPr>
          <w:rFonts w:hint="default" w:ascii="Times New Roman" w:hAnsi="Times New Roman" w:cs="Times New Roman"/>
          <w:spacing w:val="-6"/>
          <w:u w:val="none"/>
          <w:lang w:val="zh-CN" w:eastAsia="zh-CN"/>
        </w:rPr>
        <w:t>此次绩效评价工作按照投入、过程、产出、效果等</w:t>
      </w:r>
      <w:r>
        <w:rPr>
          <w:rFonts w:hint="default" w:ascii="Times New Roman" w:hAnsi="Times New Roman" w:cs="Times New Roman"/>
          <w:spacing w:val="-6"/>
          <w:u w:val="none"/>
          <w:lang w:val="en-US" w:eastAsia="zh-CN"/>
        </w:rPr>
        <w:t>4</w:t>
      </w:r>
      <w:r>
        <w:rPr>
          <w:rFonts w:hint="default" w:ascii="Times New Roman" w:hAnsi="Times New Roman" w:cs="Times New Roman"/>
          <w:spacing w:val="-6"/>
          <w:u w:val="none"/>
          <w:lang w:val="zh-CN" w:eastAsia="zh-CN"/>
        </w:rPr>
        <w:t>个一级指标，项目立项、资金落实、业务管理、财务管理、项目产出、项目效益等</w:t>
      </w:r>
      <w:r>
        <w:rPr>
          <w:rFonts w:hint="default" w:ascii="Times New Roman" w:hAnsi="Times New Roman" w:cs="Times New Roman"/>
          <w:spacing w:val="-6"/>
          <w:u w:val="none"/>
          <w:lang w:val="en-US" w:eastAsia="zh-CN"/>
        </w:rPr>
        <w:t>6</w:t>
      </w:r>
      <w:r>
        <w:rPr>
          <w:rFonts w:hint="default" w:ascii="Times New Roman" w:hAnsi="Times New Roman" w:cs="Times New Roman"/>
          <w:spacing w:val="-6"/>
          <w:u w:val="none"/>
          <w:lang w:val="zh-CN" w:eastAsia="zh-CN"/>
        </w:rPr>
        <w:t>个二级指标及</w:t>
      </w:r>
      <w:r>
        <w:rPr>
          <w:rFonts w:hint="default" w:ascii="Times New Roman" w:hAnsi="Times New Roman" w:cs="Times New Roman"/>
          <w:spacing w:val="-6"/>
          <w:u w:val="none"/>
          <w:lang w:val="en-US" w:eastAsia="zh-CN"/>
        </w:rPr>
        <w:t>20个三级指标进行项目的绩效评价。</w:t>
      </w:r>
    </w:p>
    <w:p>
      <w:pPr>
        <w:widowControl w:val="0"/>
        <w:wordWrap/>
        <w:adjustRightInd w:val="0"/>
        <w:snapToGrid w:val="0"/>
        <w:spacing w:before="0" w:after="0" w:line="580" w:lineRule="exact"/>
        <w:ind w:right="0" w:firstLine="642"/>
        <w:textAlignment w:val="auto"/>
        <w:outlineLvl w:val="9"/>
        <w:rPr>
          <w:rFonts w:hint="default" w:ascii="Times New Roman" w:hAnsi="Times New Roman" w:cs="Times New Roman"/>
          <w:lang w:val="zh-CN"/>
        </w:rPr>
      </w:pPr>
      <w:r>
        <w:rPr>
          <w:rFonts w:hint="default" w:ascii="Times New Roman" w:hAnsi="Times New Roman" w:eastAsia="楷体_GB2312" w:cs="Times New Roman"/>
          <w:b/>
          <w:bCs/>
          <w:lang w:val="zh-CN"/>
        </w:rPr>
        <w:t>（三）绩效评价过程</w:t>
      </w:r>
    </w:p>
    <w:p>
      <w:pPr>
        <w:widowControl w:val="0"/>
        <w:wordWrap/>
        <w:adjustRightInd w:val="0"/>
        <w:snapToGrid w:val="0"/>
        <w:spacing w:before="0" w:after="0" w:line="580" w:lineRule="exact"/>
        <w:ind w:right="0" w:firstLine="642"/>
        <w:textAlignment w:val="auto"/>
        <w:outlineLvl w:val="9"/>
        <w:rPr>
          <w:rFonts w:hint="default" w:ascii="Times New Roman" w:hAnsi="Times New Roman" w:cs="Times New Roman"/>
          <w:spacing w:val="-6"/>
          <w:u w:val="none"/>
          <w:lang w:val="zh-CN" w:eastAsia="zh-CN"/>
        </w:rPr>
      </w:pPr>
      <w:r>
        <w:rPr>
          <w:rFonts w:hint="default" w:ascii="Times New Roman" w:hAnsi="Times New Roman" w:cs="Times New Roman"/>
          <w:spacing w:val="-6"/>
          <w:u w:val="none"/>
          <w:lang w:val="zh-CN" w:eastAsia="zh-CN"/>
        </w:rPr>
        <w:t>我会领导对项目落实和资金使用情况高度重视，本着客观公正、实事求是的原则，对项目的绩效评价工作进行了严密的部署，统筹安排，各科室分工明确，互相协作，推动工作的有序开展。本单位成立以党组书记、主席杨清汀同志为组长，党组成员、副主席文军为副组长，张文元、马丽平、刘金全同志为成员的绩效评价工作领导小组，对202</w:t>
      </w:r>
      <w:r>
        <w:rPr>
          <w:rFonts w:hint="eastAsia" w:cs="Times New Roman"/>
          <w:spacing w:val="-6"/>
          <w:u w:val="none"/>
          <w:lang w:val="en-US" w:eastAsia="zh-CN"/>
        </w:rPr>
        <w:t>2</w:t>
      </w:r>
      <w:r>
        <w:rPr>
          <w:rFonts w:hint="default" w:ascii="Times New Roman" w:hAnsi="Times New Roman" w:cs="Times New Roman"/>
          <w:spacing w:val="-6"/>
          <w:u w:val="none"/>
          <w:lang w:val="zh-CN" w:eastAsia="zh-CN"/>
        </w:rPr>
        <w:t>年文联活动专项经费进行全面评价，各项支出合法合规。</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eastAsia="黑体" w:cs="Times New Roman"/>
          <w:lang w:val="zh-CN"/>
        </w:rPr>
      </w:pPr>
      <w:r>
        <w:rPr>
          <w:rFonts w:hint="default" w:ascii="Times New Roman" w:hAnsi="Times New Roman" w:eastAsia="黑体" w:cs="Times New Roman"/>
          <w:lang w:val="zh-CN"/>
        </w:rPr>
        <w:t>四、评价结论及分析</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b/>
          <w:bCs/>
        </w:rPr>
      </w:pPr>
      <w:r>
        <w:rPr>
          <w:rFonts w:hint="default" w:ascii="Times New Roman" w:hAnsi="Times New Roman" w:eastAsia="楷体_GB2312" w:cs="Times New Roman"/>
          <w:b/>
          <w:bCs/>
          <w:lang w:val="zh-CN"/>
        </w:rPr>
        <w:t>（一）综合评价结论</w:t>
      </w:r>
    </w:p>
    <w:p>
      <w:pPr>
        <w:widowControl w:val="0"/>
        <w:wordWrap/>
        <w:adjustRightInd w:val="0"/>
        <w:snapToGrid w:val="0"/>
        <w:spacing w:before="0" w:after="0" w:line="580" w:lineRule="exact"/>
        <w:ind w:right="0" w:firstLine="720"/>
        <w:textAlignment w:val="auto"/>
        <w:outlineLvl w:val="9"/>
        <w:rPr>
          <w:rFonts w:hint="default" w:ascii="Times New Roman" w:hAnsi="Times New Roman" w:cs="Times New Roman"/>
          <w:u w:val="none"/>
        </w:rPr>
      </w:pPr>
      <w:r>
        <w:rPr>
          <w:rFonts w:hint="default" w:ascii="Times New Roman" w:hAnsi="Times New Roman" w:cs="Times New Roman"/>
          <w:lang w:val="zh-CN"/>
        </w:rPr>
        <w:t>总体上看，该项目资金到位及时，项目管理规范，</w:t>
      </w:r>
      <w:r>
        <w:rPr>
          <w:rFonts w:hint="default" w:ascii="Times New Roman" w:hAnsi="Times New Roman" w:cs="Times New Roman"/>
          <w:kern w:val="0"/>
        </w:rPr>
        <w:t>符合</w:t>
      </w:r>
      <w:r>
        <w:rPr>
          <w:rFonts w:hint="default" w:ascii="Times New Roman" w:hAnsi="Times New Roman" w:cs="Times New Roman"/>
          <w:lang w:val="zh-CN"/>
        </w:rPr>
        <w:t>中央、省、市群团工作会议精神。</w:t>
      </w:r>
      <w:r>
        <w:rPr>
          <w:rFonts w:hint="default" w:ascii="Times New Roman" w:hAnsi="Times New Roman" w:cs="Times New Roman"/>
          <w:kern w:val="0"/>
        </w:rPr>
        <w:t>通过开展各类文艺活动，</w:t>
      </w:r>
      <w:r>
        <w:rPr>
          <w:rFonts w:hint="default" w:ascii="Times New Roman" w:hAnsi="Times New Roman" w:cs="Times New Roman"/>
          <w:kern w:val="0"/>
          <w:lang w:eastAsia="zh-CN"/>
        </w:rPr>
        <w:t>切实</w:t>
      </w:r>
      <w:r>
        <w:rPr>
          <w:rFonts w:hint="default" w:ascii="Times New Roman" w:hAnsi="Times New Roman" w:cs="Times New Roman"/>
          <w:kern w:val="0"/>
        </w:rPr>
        <w:t>调动了广大文艺家的创作热情，提高了人民群众的文化获得感和幸福感，有力促进了我市</w:t>
      </w:r>
      <w:r>
        <w:rPr>
          <w:rFonts w:hint="default" w:ascii="Times New Roman" w:hAnsi="Times New Roman" w:cs="Times New Roman"/>
          <w:kern w:val="0"/>
          <w:lang w:eastAsia="zh-CN"/>
        </w:rPr>
        <w:t>文艺事业的繁荣发展</w:t>
      </w:r>
      <w:r>
        <w:rPr>
          <w:rFonts w:hint="default" w:ascii="Times New Roman" w:hAnsi="Times New Roman" w:cs="Times New Roman"/>
          <w:kern w:val="0"/>
        </w:rPr>
        <w:t>。该项目切实达到了预期的效果。</w:t>
      </w:r>
      <w:r>
        <w:rPr>
          <w:rFonts w:hint="default" w:ascii="Times New Roman" w:hAnsi="Times New Roman" w:cs="Times New Roman"/>
          <w:kern w:val="0"/>
          <w:lang w:eastAsia="zh-CN"/>
        </w:rPr>
        <w:t>此次绩效评价</w:t>
      </w:r>
      <w:r>
        <w:rPr>
          <w:rFonts w:hint="default" w:ascii="Times New Roman" w:hAnsi="Times New Roman" w:cs="Times New Roman"/>
          <w:u w:val="none"/>
        </w:rPr>
        <w:t>评分</w:t>
      </w:r>
      <w:r>
        <w:rPr>
          <w:rFonts w:hint="default" w:ascii="Times New Roman" w:hAnsi="Times New Roman" w:cs="Times New Roman"/>
          <w:u w:val="none"/>
          <w:lang w:eastAsia="zh-CN"/>
        </w:rPr>
        <w:t>为</w:t>
      </w:r>
      <w:r>
        <w:rPr>
          <w:rFonts w:hint="eastAsia" w:cs="Times New Roman"/>
          <w:u w:val="none"/>
          <w:lang w:val="en-US" w:eastAsia="zh-CN"/>
        </w:rPr>
        <w:t>98</w:t>
      </w:r>
      <w:r>
        <w:rPr>
          <w:rFonts w:hint="default" w:ascii="Times New Roman" w:hAnsi="Times New Roman" w:cs="Times New Roman"/>
          <w:u w:val="none"/>
        </w:rPr>
        <w:t>分，评价级别为“</w:t>
      </w:r>
      <w:r>
        <w:rPr>
          <w:rFonts w:hint="default" w:ascii="Times New Roman" w:hAnsi="Times New Roman" w:cs="Times New Roman"/>
          <w:u w:val="none"/>
          <w:lang w:eastAsia="zh-CN"/>
        </w:rPr>
        <w:t>优</w:t>
      </w:r>
      <w:r>
        <w:rPr>
          <w:rFonts w:hint="default" w:ascii="Times New Roman" w:hAnsi="Times New Roman" w:cs="Times New Roman"/>
          <w:u w:val="none"/>
        </w:rPr>
        <w:t>”。</w:t>
      </w:r>
    </w:p>
    <w:p>
      <w:pPr>
        <w:widowControl w:val="0"/>
        <w:wordWrap/>
        <w:adjustRightInd w:val="0"/>
        <w:snapToGrid w:val="0"/>
        <w:spacing w:before="0" w:after="0" w:line="580" w:lineRule="exact"/>
        <w:ind w:right="0" w:firstLine="720"/>
        <w:textAlignment w:val="auto"/>
        <w:outlineLvl w:val="9"/>
        <w:rPr>
          <w:rFonts w:hint="default" w:ascii="Times New Roman" w:hAnsi="Times New Roman" w:eastAsia="楷体_GB2312" w:cs="Times New Roman"/>
          <w:b/>
          <w:bCs/>
          <w:lang w:val="zh-CN"/>
        </w:rPr>
      </w:pPr>
      <w:r>
        <w:rPr>
          <w:rFonts w:hint="default" w:ascii="Times New Roman" w:hAnsi="Times New Roman" w:eastAsia="楷体_GB2312" w:cs="Times New Roman"/>
          <w:b/>
          <w:bCs/>
          <w:lang w:val="zh-CN"/>
        </w:rPr>
        <w:t>（二）绩效分析</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rPr>
      </w:pPr>
      <w:r>
        <w:rPr>
          <w:rFonts w:hint="default" w:ascii="Times New Roman" w:hAnsi="Times New Roman" w:cs="Times New Roman"/>
          <w:b/>
          <w:bCs/>
          <w:lang w:val="en-US" w:eastAsia="zh-CN"/>
        </w:rPr>
        <w:t>1</w:t>
      </w:r>
      <w:r>
        <w:rPr>
          <w:rFonts w:hint="default" w:ascii="Times New Roman" w:hAnsi="Times New Roman" w:cs="Times New Roman"/>
          <w:b/>
          <w:bCs/>
        </w:rPr>
        <w:t>.</w:t>
      </w:r>
      <w:r>
        <w:rPr>
          <w:rFonts w:hint="default" w:ascii="Times New Roman" w:hAnsi="Times New Roman" w:cs="Times New Roman"/>
          <w:b/>
          <w:bCs/>
          <w:lang w:eastAsia="zh-CN"/>
        </w:rPr>
        <w:t>文艺交流和采风调研活动丰富多彩。</w:t>
      </w:r>
      <w:r>
        <w:rPr>
          <w:rFonts w:hint="default" w:ascii="Times New Roman" w:hAnsi="Times New Roman" w:cs="Times New Roman"/>
          <w:lang w:eastAsia="zh-CN"/>
        </w:rPr>
        <w:t>全年共组织</w:t>
      </w:r>
      <w:r>
        <w:rPr>
          <w:rFonts w:hint="default" w:ascii="Times New Roman" w:hAnsi="Times New Roman" w:cs="Times New Roman"/>
        </w:rPr>
        <w:t>文艺家与省内外文联团体、文艺家开展文艺交流</w:t>
      </w:r>
      <w:r>
        <w:rPr>
          <w:rFonts w:hint="default" w:ascii="Times New Roman" w:hAnsi="Times New Roman" w:cs="Times New Roman"/>
          <w:lang w:val="en-US" w:eastAsia="zh-CN"/>
        </w:rPr>
        <w:t>5</w:t>
      </w:r>
      <w:r>
        <w:rPr>
          <w:rFonts w:hint="default" w:ascii="Times New Roman" w:hAnsi="Times New Roman" w:cs="Times New Roman"/>
        </w:rPr>
        <w:t>余场/次，组织各门类文艺家开展文艺采风调研活动</w:t>
      </w:r>
      <w:r>
        <w:rPr>
          <w:rFonts w:hint="default" w:ascii="Times New Roman" w:hAnsi="Times New Roman" w:cs="Times New Roman"/>
          <w:lang w:val="en-US" w:eastAsia="zh-CN"/>
        </w:rPr>
        <w:t>5</w:t>
      </w:r>
      <w:r>
        <w:rPr>
          <w:rFonts w:hint="default" w:ascii="Times New Roman" w:hAnsi="Times New Roman" w:cs="Times New Roman"/>
        </w:rPr>
        <w:t>次。充分调动了</w:t>
      </w:r>
      <w:r>
        <w:rPr>
          <w:rFonts w:hint="default" w:ascii="Times New Roman" w:hAnsi="Times New Roman" w:cs="Times New Roman"/>
          <w:lang w:eastAsia="zh-CN"/>
        </w:rPr>
        <w:t>我市艺术家</w:t>
      </w:r>
      <w:r>
        <w:rPr>
          <w:rFonts w:hint="default" w:ascii="Times New Roman" w:hAnsi="Times New Roman" w:cs="Times New Roman"/>
        </w:rPr>
        <w:t>的创作热情，对我市文艺创作起到了推动作用</w:t>
      </w:r>
      <w:r>
        <w:rPr>
          <w:rFonts w:hint="default" w:ascii="Times New Roman" w:hAnsi="Times New Roman" w:cs="Times New Roman"/>
          <w:lang w:eastAsia="zh-CN"/>
        </w:rPr>
        <w:t>，使得我市文艺创作取得了新突破</w:t>
      </w:r>
      <w:r>
        <w:rPr>
          <w:rFonts w:hint="default" w:ascii="Times New Roman" w:hAnsi="Times New Roman" w:cs="Times New Roman"/>
        </w:rPr>
        <w:t>。</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b/>
          <w:bCs/>
        </w:rPr>
        <w:t>文艺创作</w:t>
      </w:r>
      <w:r>
        <w:rPr>
          <w:rFonts w:hint="default" w:ascii="Times New Roman" w:hAnsi="Times New Roman" w:cs="Times New Roman"/>
          <w:b/>
          <w:bCs/>
          <w:lang w:eastAsia="zh-CN"/>
        </w:rPr>
        <w:t>呈现</w:t>
      </w:r>
      <w:r>
        <w:rPr>
          <w:rFonts w:hint="default" w:ascii="Times New Roman" w:hAnsi="Times New Roman" w:cs="Times New Roman"/>
          <w:b/>
          <w:bCs/>
        </w:rPr>
        <w:t>出蓬勃发展的良好势头。</w:t>
      </w:r>
      <w:r>
        <w:rPr>
          <w:rFonts w:hint="default" w:ascii="Times New Roman" w:hAnsi="Times New Roman" w:cs="Times New Roman"/>
        </w:rPr>
        <w:t>20</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rPr>
        <w:t>年，全市文艺工作者</w:t>
      </w:r>
      <w:r>
        <w:rPr>
          <w:rFonts w:hint="default" w:ascii="Times New Roman" w:hAnsi="Times New Roman" w:cs="Times New Roman"/>
          <w:lang w:eastAsia="zh-CN"/>
        </w:rPr>
        <w:t>共</w:t>
      </w:r>
      <w:r>
        <w:rPr>
          <w:rFonts w:hint="default" w:ascii="Times New Roman" w:hAnsi="Times New Roman" w:cs="Times New Roman"/>
        </w:rPr>
        <w:t>创作出讴歌和反映我市经济社会</w:t>
      </w:r>
      <w:r>
        <w:rPr>
          <w:rFonts w:hint="default" w:ascii="Times New Roman" w:hAnsi="Times New Roman" w:cs="Times New Roman"/>
          <w:lang w:eastAsia="zh-CN"/>
        </w:rPr>
        <w:t>发展</w:t>
      </w:r>
      <w:r>
        <w:rPr>
          <w:rFonts w:hint="default" w:ascii="Times New Roman" w:hAnsi="Times New Roman" w:cs="Times New Roman"/>
        </w:rPr>
        <w:t>的优秀文艺作品</w:t>
      </w:r>
      <w:r>
        <w:rPr>
          <w:rFonts w:hint="default" w:ascii="Times New Roman" w:hAnsi="Times New Roman" w:cs="Times New Roman"/>
          <w:lang w:val="en-US" w:eastAsia="zh-CN"/>
        </w:rPr>
        <w:t>3000</w:t>
      </w:r>
      <w:r>
        <w:rPr>
          <w:rFonts w:hint="default" w:ascii="Times New Roman" w:hAnsi="Times New Roman" w:cs="Times New Roman"/>
        </w:rPr>
        <w:t>余件，各类文艺作品在国家级、省级展赛中频频获奖</w:t>
      </w:r>
      <w:r>
        <w:rPr>
          <w:rFonts w:hint="default" w:ascii="Times New Roman" w:hAnsi="Times New Roman" w:cs="Times New Roman"/>
          <w:lang w:eastAsia="zh-CN"/>
        </w:rPr>
        <w:t>。其中：</w:t>
      </w:r>
      <w:r>
        <w:rPr>
          <w:rFonts w:hint="default" w:ascii="Times New Roman" w:hAnsi="Times New Roman" w:cs="Times New Roman"/>
          <w:lang w:val="en-US" w:eastAsia="zh-CN"/>
        </w:rPr>
        <w:t>5%的作品在国家级展览中入选或者获奖；30%的作品在省级评奖中入选或者获奖，文艺创作呈现出繁荣发展的态势。</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rPr>
      </w:pP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eastAsia="zh-CN"/>
        </w:rPr>
        <w:t>基层群众的文化获得感和幸福感大幅度提升</w:t>
      </w:r>
      <w:r>
        <w:rPr>
          <w:rFonts w:hint="default" w:ascii="Times New Roman" w:hAnsi="Times New Roman" w:cs="Times New Roman"/>
          <w:b/>
          <w:bCs/>
        </w:rPr>
        <w:t>。</w:t>
      </w:r>
      <w:r>
        <w:rPr>
          <w:rFonts w:hint="default" w:ascii="Times New Roman" w:hAnsi="Times New Roman" w:cs="Times New Roman"/>
          <w:lang w:val="en-US" w:eastAsia="zh-CN"/>
        </w:rPr>
        <w:t>202</w:t>
      </w:r>
      <w:r>
        <w:rPr>
          <w:rFonts w:hint="eastAsia" w:cs="Times New Roman"/>
          <w:lang w:val="en-US" w:eastAsia="zh-CN"/>
        </w:rPr>
        <w:t>2</w:t>
      </w:r>
      <w:r>
        <w:rPr>
          <w:rFonts w:hint="default" w:ascii="Times New Roman" w:hAnsi="Times New Roman" w:cs="Times New Roman"/>
          <w:lang w:val="en-US" w:eastAsia="zh-CN"/>
        </w:rPr>
        <w:t>年，市文联</w:t>
      </w:r>
      <w:r>
        <w:rPr>
          <w:rFonts w:hint="default" w:ascii="Times New Roman" w:hAnsi="Times New Roman" w:cs="Times New Roman"/>
        </w:rPr>
        <w:t>秉持文艺“为民、惠民、乐民”的宗旨，</w:t>
      </w:r>
      <w:r>
        <w:rPr>
          <w:rFonts w:hint="default" w:ascii="Times New Roman" w:hAnsi="Times New Roman" w:cs="Times New Roman"/>
          <w:lang w:eastAsia="zh-CN"/>
        </w:rPr>
        <w:t>精心</w:t>
      </w:r>
      <w:r>
        <w:rPr>
          <w:rFonts w:hint="default" w:ascii="Times New Roman" w:hAnsi="Times New Roman" w:cs="Times New Roman"/>
        </w:rPr>
        <w:t>组织“迎春纳福”送春联送万福进万家活动</w:t>
      </w:r>
      <w:r>
        <w:rPr>
          <w:rFonts w:hint="default" w:ascii="Times New Roman" w:hAnsi="Times New Roman" w:cs="Times New Roman"/>
          <w:lang w:eastAsia="zh-CN"/>
        </w:rPr>
        <w:t>、</w:t>
      </w:r>
      <w:r>
        <w:rPr>
          <w:rFonts w:hint="default" w:ascii="Times New Roman" w:hAnsi="Times New Roman" w:cs="Times New Roman"/>
        </w:rPr>
        <w:t>“送文化下基层活动”和“进农村送书画”精神扶贫活动</w:t>
      </w:r>
      <w:r>
        <w:rPr>
          <w:rFonts w:hint="default" w:ascii="Times New Roman" w:hAnsi="Times New Roman" w:cs="Times New Roman"/>
          <w:lang w:eastAsia="zh-CN"/>
        </w:rPr>
        <w:t>、</w:t>
      </w:r>
      <w:r>
        <w:rPr>
          <w:rFonts w:hint="default" w:ascii="Times New Roman" w:hAnsi="Times New Roman" w:cs="Times New Roman"/>
        </w:rPr>
        <w:t>送书画进军营活动、音乐节目进军营活动、军民共建书画笔会</w:t>
      </w:r>
      <w:r>
        <w:rPr>
          <w:rFonts w:hint="default" w:ascii="Times New Roman" w:hAnsi="Times New Roman" w:cs="Times New Roman"/>
          <w:lang w:eastAsia="zh-CN"/>
        </w:rPr>
        <w:t>、</w:t>
      </w:r>
      <w:r>
        <w:rPr>
          <w:rFonts w:hint="default" w:ascii="Times New Roman" w:hAnsi="Times New Roman" w:cs="Times New Roman"/>
        </w:rPr>
        <w:t>“地方曲艺进校园 特色文化代代传”曲艺专场演出、“戏曲进校园——传统秦腔剧目经典唱段”和“书画进校园”</w:t>
      </w:r>
      <w:r>
        <w:rPr>
          <w:rFonts w:hint="default" w:ascii="Times New Roman" w:hAnsi="Times New Roman" w:cs="Times New Roman"/>
          <w:lang w:eastAsia="zh-CN"/>
        </w:rPr>
        <w:t>等</w:t>
      </w:r>
      <w:r>
        <w:rPr>
          <w:rFonts w:hint="default" w:ascii="Times New Roman" w:hAnsi="Times New Roman" w:cs="Times New Roman"/>
        </w:rPr>
        <w:t>文艺“六进”惠民活动</w:t>
      </w:r>
      <w:r>
        <w:rPr>
          <w:rFonts w:hint="default" w:ascii="Times New Roman" w:hAnsi="Times New Roman" w:cs="Times New Roman"/>
          <w:lang w:val="en-US" w:eastAsia="zh-CN"/>
        </w:rPr>
        <w:t>10</w:t>
      </w:r>
      <w:r>
        <w:rPr>
          <w:rFonts w:hint="default" w:ascii="Times New Roman" w:hAnsi="Times New Roman" w:cs="Times New Roman"/>
        </w:rPr>
        <w:t>余场/次，</w:t>
      </w:r>
      <w:r>
        <w:rPr>
          <w:rFonts w:hint="default" w:ascii="Times New Roman" w:hAnsi="Times New Roman" w:cs="Times New Roman"/>
          <w:lang w:eastAsia="zh-CN"/>
        </w:rPr>
        <w:t>为群众送春联</w:t>
      </w:r>
      <w:r>
        <w:rPr>
          <w:rFonts w:hint="default" w:ascii="Times New Roman" w:hAnsi="Times New Roman" w:cs="Times New Roman"/>
          <w:lang w:val="en-US" w:eastAsia="zh-CN"/>
        </w:rPr>
        <w:t>2000余幅，赠送书画作品400余幅，表演节目5场</w:t>
      </w:r>
      <w:r>
        <w:rPr>
          <w:rFonts w:hint="default" w:ascii="Times New Roman" w:hAnsi="Times New Roman" w:cs="Times New Roman"/>
        </w:rPr>
        <w:t>/</w:t>
      </w:r>
      <w:r>
        <w:rPr>
          <w:rFonts w:hint="default" w:ascii="Times New Roman" w:hAnsi="Times New Roman" w:cs="Times New Roman"/>
          <w:lang w:val="en-US" w:eastAsia="zh-CN"/>
        </w:rPr>
        <w:t>次，</w:t>
      </w:r>
      <w:r>
        <w:rPr>
          <w:rFonts w:hint="default" w:ascii="Times New Roman" w:hAnsi="Times New Roman" w:cs="Times New Roman"/>
        </w:rPr>
        <w:t>把精彩的文艺节目和欢声笑语送到了群众的家门口</w:t>
      </w:r>
      <w:r>
        <w:rPr>
          <w:rFonts w:hint="default" w:ascii="Times New Roman" w:hAnsi="Times New Roman" w:cs="Times New Roman"/>
          <w:lang w:eastAsia="zh-CN"/>
        </w:rPr>
        <w:t>，</w:t>
      </w:r>
      <w:r>
        <w:rPr>
          <w:rFonts w:hint="default" w:ascii="Times New Roman" w:hAnsi="Times New Roman" w:cs="Times New Roman"/>
        </w:rPr>
        <w:t>有效提</w:t>
      </w:r>
      <w:r>
        <w:rPr>
          <w:rFonts w:hint="default" w:ascii="Times New Roman" w:hAnsi="Times New Roman" w:cs="Times New Roman"/>
          <w:lang w:eastAsia="zh-CN"/>
        </w:rPr>
        <w:t>升</w:t>
      </w:r>
      <w:r>
        <w:rPr>
          <w:rFonts w:hint="default" w:ascii="Times New Roman" w:hAnsi="Times New Roman" w:cs="Times New Roman"/>
        </w:rPr>
        <w:t>了人民群众的文化获得感和幸福感。</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rPr>
      </w:pPr>
      <w:r>
        <w:rPr>
          <w:rFonts w:hint="default" w:ascii="Times New Roman" w:hAnsi="Times New Roman" w:cs="Times New Roman"/>
          <w:b/>
          <w:bCs/>
          <w:lang w:val="en-US" w:eastAsia="zh-CN"/>
        </w:rPr>
        <w:t>4</w:t>
      </w:r>
      <w:r>
        <w:rPr>
          <w:rFonts w:hint="default" w:ascii="Times New Roman" w:hAnsi="Times New Roman" w:cs="Times New Roman"/>
          <w:b/>
          <w:bCs/>
        </w:rPr>
        <w:t>.文艺人才队伍建设进一步夯实。</w:t>
      </w:r>
      <w:r>
        <w:rPr>
          <w:rFonts w:hint="default" w:ascii="Times New Roman" w:hAnsi="Times New Roman" w:cs="Times New Roman"/>
          <w:lang w:eastAsia="zh-CN"/>
        </w:rPr>
        <w:t>通过</w:t>
      </w:r>
      <w:r>
        <w:rPr>
          <w:rFonts w:hint="default" w:ascii="Times New Roman" w:hAnsi="Times New Roman" w:cs="Times New Roman"/>
        </w:rPr>
        <w:t>举办艺术论坛</w:t>
      </w:r>
      <w:r>
        <w:rPr>
          <w:rFonts w:hint="default" w:ascii="Times New Roman" w:hAnsi="Times New Roman" w:cs="Times New Roman"/>
          <w:lang w:eastAsia="zh-CN"/>
        </w:rPr>
        <w:t>、</w:t>
      </w:r>
      <w:r>
        <w:rPr>
          <w:rFonts w:hint="default" w:ascii="Times New Roman" w:hAnsi="Times New Roman" w:cs="Times New Roman"/>
        </w:rPr>
        <w:t>承办</w:t>
      </w:r>
      <w:r>
        <w:rPr>
          <w:rFonts w:hint="default" w:ascii="Times New Roman" w:hAnsi="Times New Roman" w:cs="Times New Roman"/>
          <w:lang w:eastAsia="zh-CN"/>
        </w:rPr>
        <w:t>省级艺术</w:t>
      </w:r>
      <w:r>
        <w:rPr>
          <w:rFonts w:hint="default" w:ascii="Times New Roman" w:hAnsi="Times New Roman" w:cs="Times New Roman"/>
        </w:rPr>
        <w:t>培训活动</w:t>
      </w:r>
      <w:r>
        <w:rPr>
          <w:rFonts w:hint="default" w:ascii="Times New Roman" w:hAnsi="Times New Roman" w:cs="Times New Roman"/>
          <w:lang w:eastAsia="zh-CN"/>
        </w:rPr>
        <w:t>，</w:t>
      </w:r>
      <w:r>
        <w:rPr>
          <w:rFonts w:hint="default" w:ascii="Times New Roman" w:hAnsi="Times New Roman" w:cs="Times New Roman"/>
        </w:rPr>
        <w:t>为我市</w:t>
      </w:r>
      <w:r>
        <w:rPr>
          <w:rFonts w:hint="default" w:ascii="Times New Roman" w:hAnsi="Times New Roman" w:cs="Times New Roman"/>
          <w:lang w:eastAsia="zh-CN"/>
        </w:rPr>
        <w:t>文艺家和艺术</w:t>
      </w:r>
      <w:r>
        <w:rPr>
          <w:rFonts w:hint="default" w:ascii="Times New Roman" w:hAnsi="Times New Roman" w:cs="Times New Roman"/>
        </w:rPr>
        <w:t>爱好者提供了与</w:t>
      </w:r>
      <w:r>
        <w:rPr>
          <w:rFonts w:hint="default" w:ascii="Times New Roman" w:hAnsi="Times New Roman" w:cs="Times New Roman"/>
          <w:lang w:eastAsia="zh-CN"/>
        </w:rPr>
        <w:t>省</w:t>
      </w:r>
      <w:r>
        <w:rPr>
          <w:rFonts w:hint="default" w:ascii="Times New Roman" w:hAnsi="Times New Roman" w:cs="Times New Roman"/>
        </w:rPr>
        <w:t>内外</w:t>
      </w:r>
      <w:r>
        <w:rPr>
          <w:rFonts w:hint="default" w:ascii="Times New Roman" w:hAnsi="Times New Roman" w:cs="Times New Roman"/>
          <w:lang w:eastAsia="zh-CN"/>
        </w:rPr>
        <w:t>艺术家</w:t>
      </w:r>
      <w:r>
        <w:rPr>
          <w:rFonts w:hint="default" w:ascii="Times New Roman" w:hAnsi="Times New Roman" w:cs="Times New Roman"/>
        </w:rPr>
        <w:t>现场互动交流的机会</w:t>
      </w:r>
      <w:r>
        <w:rPr>
          <w:rFonts w:hint="default" w:ascii="Times New Roman" w:hAnsi="Times New Roman" w:cs="Times New Roman"/>
          <w:lang w:eastAsia="zh-CN"/>
        </w:rPr>
        <w:t>，</w:t>
      </w:r>
      <w:r>
        <w:rPr>
          <w:rFonts w:hint="default" w:ascii="Times New Roman" w:hAnsi="Times New Roman" w:cs="Times New Roman"/>
        </w:rPr>
        <w:t>对深入贯彻落实党的</w:t>
      </w:r>
      <w:r>
        <w:rPr>
          <w:rFonts w:hint="eastAsia" w:cs="Times New Roman"/>
          <w:lang w:eastAsia="zh-CN"/>
        </w:rPr>
        <w:t>二十</w:t>
      </w:r>
      <w:r>
        <w:rPr>
          <w:rFonts w:hint="default" w:ascii="Times New Roman" w:hAnsi="Times New Roman" w:cs="Times New Roman"/>
        </w:rPr>
        <w:t>大精神，进一步繁荣和发展</w:t>
      </w:r>
      <w:r>
        <w:rPr>
          <w:rFonts w:hint="default" w:ascii="Times New Roman" w:hAnsi="Times New Roman" w:cs="Times New Roman"/>
          <w:lang w:eastAsia="zh-CN"/>
        </w:rPr>
        <w:t>我市文艺</w:t>
      </w:r>
      <w:r>
        <w:rPr>
          <w:rFonts w:hint="default" w:ascii="Times New Roman" w:hAnsi="Times New Roman" w:cs="Times New Roman"/>
        </w:rPr>
        <w:t>事业，提升</w:t>
      </w:r>
      <w:r>
        <w:rPr>
          <w:rFonts w:hint="default" w:ascii="Times New Roman" w:hAnsi="Times New Roman" w:cs="Times New Roman"/>
          <w:lang w:eastAsia="zh-CN"/>
        </w:rPr>
        <w:t>我市艺术家文艺</w:t>
      </w:r>
      <w:r>
        <w:rPr>
          <w:rFonts w:hint="default" w:ascii="Times New Roman" w:hAnsi="Times New Roman" w:cs="Times New Roman"/>
        </w:rPr>
        <w:t>创作水平起到了积极的推动作用。</w:t>
      </w:r>
    </w:p>
    <w:p>
      <w:pPr>
        <w:widowControl w:val="0"/>
        <w:wordWrap/>
        <w:adjustRightInd w:val="0"/>
        <w:snapToGrid w:val="0"/>
        <w:spacing w:before="0" w:after="0" w:line="580" w:lineRule="exact"/>
        <w:ind w:right="0" w:firstLine="643" w:firstLineChars="200"/>
        <w:textAlignment w:val="auto"/>
        <w:outlineLvl w:val="9"/>
        <w:rPr>
          <w:rFonts w:hint="default" w:ascii="Times New Roman" w:hAnsi="Times New Roman" w:cs="Times New Roman"/>
          <w:lang w:eastAsia="zh-CN"/>
        </w:rPr>
      </w:pPr>
      <w:r>
        <w:rPr>
          <w:rFonts w:hint="default" w:ascii="Times New Roman" w:hAnsi="Times New Roman" w:cs="Times New Roman"/>
          <w:b/>
          <w:bCs/>
          <w:lang w:val="en-US" w:eastAsia="zh-CN"/>
        </w:rPr>
        <w:t>5.网络管理更加规范办刊水平不断提升。</w:t>
      </w:r>
      <w:r>
        <w:rPr>
          <w:rFonts w:hint="default" w:ascii="Times New Roman" w:hAnsi="Times New Roman" w:cs="Times New Roman"/>
          <w:lang w:val="zh-CN"/>
        </w:rPr>
        <w:t>进一步加强了天水文艺网和《天水文学》两大意识形态阵地的管理，确保了网站正常运转。</w:t>
      </w:r>
      <w:r>
        <w:rPr>
          <w:rFonts w:hint="default" w:ascii="Times New Roman" w:hAnsi="Times New Roman" w:cs="Times New Roman"/>
          <w:lang w:val="en-US" w:eastAsia="zh-CN"/>
        </w:rPr>
        <w:t>202</w:t>
      </w:r>
      <w:r>
        <w:rPr>
          <w:rFonts w:hint="eastAsia" w:cs="Times New Roman"/>
          <w:lang w:val="en-US" w:eastAsia="zh-CN"/>
        </w:rPr>
        <w:t>2</w:t>
      </w:r>
      <w:r>
        <w:rPr>
          <w:rFonts w:hint="default" w:ascii="Times New Roman" w:hAnsi="Times New Roman" w:cs="Times New Roman"/>
          <w:lang w:val="en-US" w:eastAsia="zh-CN"/>
        </w:rPr>
        <w:t>年，</w:t>
      </w:r>
      <w:r>
        <w:rPr>
          <w:rFonts w:hint="default" w:ascii="Times New Roman" w:hAnsi="Times New Roman" w:cs="Times New Roman"/>
          <w:lang w:val="zh-CN"/>
        </w:rPr>
        <w:t>《天水文学》共出刊</w:t>
      </w:r>
      <w:r>
        <w:rPr>
          <w:rFonts w:hint="default" w:ascii="Times New Roman" w:hAnsi="Times New Roman" w:cs="Times New Roman"/>
        </w:rPr>
        <w:t>4期，刊登散文、诗歌、小说200余篇（首）</w:t>
      </w:r>
      <w:r>
        <w:rPr>
          <w:rFonts w:hint="default" w:ascii="Times New Roman" w:hAnsi="Times New Roman" w:cs="Times New Roman"/>
          <w:lang w:eastAsia="zh-CN"/>
        </w:rPr>
        <w:t>，刊物质量得到进一步提升。</w:t>
      </w:r>
      <w:r>
        <w:rPr>
          <w:rFonts w:hint="default" w:ascii="Times New Roman" w:hAnsi="Times New Roman" w:cs="Times New Roman"/>
          <w:lang w:val="zh-CN"/>
        </w:rPr>
        <w:t>《天水文学》和天水文艺网</w:t>
      </w:r>
      <w:r>
        <w:rPr>
          <w:rFonts w:hint="default" w:ascii="Times New Roman" w:hAnsi="Times New Roman" w:cs="Times New Roman"/>
          <w:lang w:eastAsia="zh-CN"/>
        </w:rPr>
        <w:t>作为我市文艺界与外界交流的窗口，对扩大天水文艺影响力起到了积极作用。</w:t>
      </w:r>
    </w:p>
    <w:p>
      <w:pPr>
        <w:widowControl w:val="0"/>
        <w:numPr>
          <w:ilvl w:val="0"/>
          <w:numId w:val="2"/>
        </w:numPr>
        <w:wordWrap/>
        <w:adjustRightInd w:val="0"/>
        <w:snapToGrid w:val="0"/>
        <w:spacing w:before="0" w:after="0" w:line="580" w:lineRule="exact"/>
        <w:ind w:right="0" w:firstLine="640" w:firstLineChars="200"/>
        <w:textAlignment w:val="auto"/>
        <w:outlineLvl w:val="9"/>
        <w:rPr>
          <w:rFonts w:hint="default" w:ascii="Times New Roman" w:hAnsi="Times New Roman" w:eastAsia="黑体" w:cs="Times New Roman"/>
          <w:lang w:eastAsia="zh-CN"/>
        </w:rPr>
      </w:pPr>
      <w:r>
        <w:rPr>
          <w:rFonts w:hint="default" w:ascii="Times New Roman" w:hAnsi="Times New Roman" w:eastAsia="黑体" w:cs="Times New Roman"/>
          <w:lang w:eastAsia="zh-CN"/>
        </w:rPr>
        <w:t>绩效评价指标分析</w:t>
      </w:r>
    </w:p>
    <w:p>
      <w:pPr>
        <w:widowControl w:val="0"/>
        <w:wordWrap/>
        <w:adjustRightInd w:val="0"/>
        <w:snapToGrid w:val="0"/>
        <w:spacing w:before="0" w:after="0" w:line="580" w:lineRule="exact"/>
        <w:ind w:right="0" w:firstLine="640" w:firstLineChars="200"/>
        <w:textAlignment w:val="auto"/>
        <w:outlineLvl w:val="9"/>
        <w:rPr>
          <w:rFonts w:hint="eastAsia"/>
        </w:rPr>
      </w:pPr>
      <w:r>
        <w:rPr>
          <w:rFonts w:hint="eastAsia"/>
        </w:rPr>
        <w:t>预算编制合理性(评价目标值：合理，业绩值：子项目预算内容与项目实际工作内容匹配;总预算细分为具体子项目预算;预算额度测算依据充分，数量与产出指标匹配，单价有标准来源);预算资金到位情况(评价目标值：足额到位，业绩值：100%);</w:t>
      </w:r>
      <w:r>
        <w:rPr>
          <w:rFonts w:hint="eastAsia"/>
          <w:lang w:val="en-US" w:eastAsia="zh-CN"/>
        </w:rPr>
        <w:t xml:space="preserve"> </w:t>
      </w:r>
      <w:r>
        <w:rPr>
          <w:rFonts w:hint="eastAsia"/>
        </w:rPr>
        <w:t>预算执行率(评价目标值：100%，业绩值：</w:t>
      </w:r>
      <w:r>
        <w:rPr>
          <w:rFonts w:hint="eastAsia"/>
          <w:lang w:val="en-US" w:eastAsia="zh-CN"/>
        </w:rPr>
        <w:t>100</w:t>
      </w:r>
      <w:r>
        <w:rPr>
          <w:rFonts w:hint="eastAsia"/>
        </w:rPr>
        <w:t>%);</w:t>
      </w:r>
      <w:r>
        <w:rPr>
          <w:rFonts w:hint="eastAsia"/>
          <w:lang w:val="en-US" w:eastAsia="zh-CN"/>
        </w:rPr>
        <w:t xml:space="preserve"> </w:t>
      </w:r>
      <w:r>
        <w:rPr>
          <w:rFonts w:hint="eastAsia"/>
        </w:rPr>
        <w:t>财务管理制度健全性(评价目标值：健全，业绩值：往来资金结算管理相关规定完整;支出管理相关规定完整;收入管理相关规定完整;现金及银行存款管理相关规定完整;财务监督管理相关规定完整;资产管理相关规定完整;采购管理相关规定完整;预算管理相关规定完整;已制定专项资金管理制度或有适用于本项目的财务管理制度);</w:t>
      </w:r>
      <w:r>
        <w:rPr>
          <w:rFonts w:hint="eastAsia"/>
          <w:lang w:val="en-US" w:eastAsia="zh-CN"/>
        </w:rPr>
        <w:t xml:space="preserve"> </w:t>
      </w:r>
      <w:r>
        <w:rPr>
          <w:rFonts w:hint="eastAsia"/>
        </w:rPr>
        <w:t>财务监控有效性(评价目标值：有效，业绩值：已制定或具有相应的财务监控机制;采取了相应的财务检查等必要的监控措施或手段，对资金使用进行监控;按项目进行成本核算，以及项目成本差异情况);</w:t>
      </w:r>
      <w:r>
        <w:rPr>
          <w:rFonts w:hint="eastAsia"/>
          <w:lang w:val="en-US" w:eastAsia="zh-CN"/>
        </w:rPr>
        <w:t xml:space="preserve"> </w:t>
      </w:r>
      <w:r>
        <w:rPr>
          <w:rFonts w:hint="eastAsia"/>
        </w:rPr>
        <w:t>资金使用规范性(评价目标值：合规，业绩值：不存在截留、挤占、挪用、虚列支出等情况;符合国家财经法规和财务管理制度以及有关专项资金管理办法的规定;符合项目预算批复或合同规定的用途;项目的重大开支经过评估认证;预算资金的拨付有完整的审批程序和手续);</w:t>
      </w:r>
      <w:r>
        <w:rPr>
          <w:rFonts w:hint="eastAsia"/>
          <w:lang w:val="en-US" w:eastAsia="zh-CN"/>
        </w:rPr>
        <w:t xml:space="preserve"> </w:t>
      </w:r>
      <w:r>
        <w:rPr>
          <w:rFonts w:hint="eastAsia"/>
        </w:rPr>
        <w:t>政府采购规范性(评价目标值：合规，业绩值：政府采购契约形式明确;政府采购标的范围明确;政府采购的主体范围明确;政府采购资金来源和规模明确;符合政府采购时限要求;项目按照政府采购规定程序进行申报;按照政府采购法律法规规定发布政府采购项目信息;政府采购项目信息按规定及时发布;按照采购相关法律法规流程执行;政府采购事项依法进行了备案或者审批);</w:t>
      </w:r>
      <w:r>
        <w:rPr>
          <w:rFonts w:hint="eastAsia"/>
          <w:lang w:val="en-US" w:eastAsia="zh-CN"/>
        </w:rPr>
        <w:t xml:space="preserve"> </w:t>
      </w:r>
      <w:r>
        <w:rPr>
          <w:rFonts w:hint="eastAsia"/>
        </w:rPr>
        <w:t>项目管理制度健全性(评价目标值：健全，业绩值：项目管理制度（机制）具备可操作性;项目管理制度（机制）内容完整，覆盖明确的工作计划、工作方法、进度计划、人员配置及项目质量要求或标准;具备适用于本项目的合法合规的管理制度、办法或方案);</w:t>
      </w:r>
      <w:r>
        <w:rPr>
          <w:rFonts w:hint="eastAsia"/>
          <w:lang w:val="en-US" w:eastAsia="zh-CN"/>
        </w:rPr>
        <w:t xml:space="preserve"> </w:t>
      </w:r>
      <w:r>
        <w:rPr>
          <w:rFonts w:hint="eastAsia"/>
        </w:rPr>
        <w:t>政府采购合规性(评价目标值：合规，业绩值：合规);</w:t>
      </w:r>
      <w:r>
        <w:rPr>
          <w:rFonts w:hint="eastAsia"/>
          <w:lang w:val="en-US" w:eastAsia="zh-CN"/>
        </w:rPr>
        <w:t xml:space="preserve"> </w:t>
      </w:r>
      <w:r>
        <w:rPr>
          <w:rFonts w:hint="eastAsia"/>
        </w:rPr>
        <w:t>合同管理完备性(评价目标值：完备，业绩值：合同中有明确、清晰、完整的质量标准或验收标准;合同双方明确、清晰、完整;合同履约期限明确、清晰、完整;合同支付方式和支付时间明确、清晰、完整;合同有明确、清晰、完整的交付方式及地点;合同标的物及价格明确、清晰、完整;合同生效和解除条款明确、清晰、完整;合同违约责任界定明确、清晰、完整;合同双方按照合约定履行);</w:t>
      </w:r>
      <w:r>
        <w:rPr>
          <w:rFonts w:hint="eastAsia"/>
          <w:lang w:val="en-US" w:eastAsia="zh-CN"/>
        </w:rPr>
        <w:t xml:space="preserve"> </w:t>
      </w:r>
      <w:r>
        <w:rPr>
          <w:rFonts w:hint="eastAsia"/>
        </w:rPr>
        <w:t>项目质量可控性(评价目标值：可控，业绩值：已制定或具有相应的项目质量要求或标准;采取了相应的项目质量检查、验收等必需的控制措施或手段;对考核结果及时进行反馈和应用);</w:t>
      </w:r>
      <w:r>
        <w:rPr>
          <w:rFonts w:hint="eastAsia"/>
          <w:lang w:val="en-US" w:eastAsia="zh-CN"/>
        </w:rPr>
        <w:t xml:space="preserve"> </w:t>
      </w:r>
      <w:r>
        <w:rPr>
          <w:rFonts w:hint="eastAsia"/>
        </w:rPr>
        <w:t>举办导向性、示范性文艺活动(评价目标值：5次，业绩值：);</w:t>
      </w:r>
      <w:r>
        <w:rPr>
          <w:rFonts w:hint="eastAsia"/>
          <w:lang w:val="en-US" w:eastAsia="zh-CN"/>
        </w:rPr>
        <w:t xml:space="preserve"> </w:t>
      </w:r>
      <w:r>
        <w:rPr>
          <w:rFonts w:hint="eastAsia"/>
        </w:rPr>
        <w:t>组织文艺家开展文艺交流和调研(评价目标值：5次，业绩值：5);</w:t>
      </w:r>
      <w:r>
        <w:rPr>
          <w:rFonts w:hint="eastAsia"/>
          <w:lang w:val="en-US" w:eastAsia="zh-CN"/>
        </w:rPr>
        <w:t xml:space="preserve"> </w:t>
      </w:r>
      <w:r>
        <w:rPr>
          <w:rFonts w:hint="eastAsia"/>
        </w:rPr>
        <w:t>文艺创作数量提高(评价目标值：10%，业绩值：10);</w:t>
      </w:r>
      <w:r>
        <w:rPr>
          <w:rFonts w:hint="eastAsia"/>
          <w:lang w:val="en-US" w:eastAsia="zh-CN"/>
        </w:rPr>
        <w:t xml:space="preserve"> </w:t>
      </w:r>
      <w:r>
        <w:rPr>
          <w:rFonts w:hint="eastAsia"/>
        </w:rPr>
        <w:t>开展文艺惠民活动(评价目标值：10次，业绩值：10);《天水文学》出刊(评价目标值：4期，业绩值：4);</w:t>
      </w:r>
    </w:p>
    <w:p>
      <w:pPr>
        <w:widowControl w:val="0"/>
        <w:wordWrap/>
        <w:adjustRightInd w:val="0"/>
        <w:snapToGrid w:val="0"/>
        <w:spacing w:before="0" w:after="0" w:line="580" w:lineRule="exact"/>
        <w:ind w:right="0"/>
        <w:textAlignment w:val="auto"/>
        <w:outlineLvl w:val="9"/>
        <w:rPr>
          <w:rFonts w:hint="eastAsia"/>
        </w:rPr>
      </w:pPr>
      <w:r>
        <w:rPr>
          <w:rFonts w:hint="eastAsia"/>
        </w:rPr>
        <w:t>举办各项文艺活动(评价目标值：10次，业绩值：10);</w:t>
      </w:r>
      <w:r>
        <w:rPr>
          <w:rFonts w:hint="eastAsia"/>
          <w:lang w:val="en-US" w:eastAsia="zh-CN"/>
        </w:rPr>
        <w:t xml:space="preserve"> </w:t>
      </w:r>
      <w:r>
        <w:rPr>
          <w:rFonts w:hint="eastAsia"/>
        </w:rPr>
        <w:t>举办文艺培训(评价目标值：1次，业绩值：1);</w:t>
      </w:r>
      <w:r>
        <w:rPr>
          <w:rFonts w:hint="eastAsia"/>
          <w:lang w:val="en-US" w:eastAsia="zh-CN"/>
        </w:rPr>
        <w:t xml:space="preserve"> </w:t>
      </w:r>
      <w:r>
        <w:rPr>
          <w:rFonts w:hint="eastAsia"/>
        </w:rPr>
        <w:t>召开各协会理事会(评价目标值：1次，业绩值：1);</w:t>
      </w:r>
      <w:r>
        <w:rPr>
          <w:rFonts w:hint="eastAsia"/>
          <w:lang w:val="en-US" w:eastAsia="zh-CN"/>
        </w:rPr>
        <w:t xml:space="preserve"> </w:t>
      </w:r>
      <w:r>
        <w:rPr>
          <w:rFonts w:hint="eastAsia"/>
        </w:rPr>
        <w:t>满足人民群众的精神文化需求率(评价目标值：100%，业绩值：90%);</w:t>
      </w:r>
      <w:r>
        <w:rPr>
          <w:rFonts w:hint="eastAsia"/>
          <w:lang w:val="en-US" w:eastAsia="zh-CN"/>
        </w:rPr>
        <w:t xml:space="preserve"> </w:t>
      </w:r>
      <w:r>
        <w:rPr>
          <w:rFonts w:hint="eastAsia"/>
        </w:rPr>
        <w:t>项目完工及时性(评价目标值：及时，业绩值：及时);</w:t>
      </w:r>
      <w:r>
        <w:rPr>
          <w:rFonts w:hint="eastAsia"/>
          <w:lang w:val="en-US" w:eastAsia="zh-CN"/>
        </w:rPr>
        <w:t xml:space="preserve"> </w:t>
      </w:r>
      <w:r>
        <w:rPr>
          <w:rFonts w:hint="eastAsia"/>
        </w:rPr>
        <w:t>文联活动总成本(评价目标值：</w:t>
      </w:r>
      <w:r>
        <w:rPr>
          <w:rFonts w:hint="eastAsia"/>
          <w:lang w:val="en-US" w:eastAsia="zh-CN"/>
        </w:rPr>
        <w:t>12.5</w:t>
      </w:r>
      <w:r>
        <w:rPr>
          <w:rFonts w:hint="eastAsia"/>
        </w:rPr>
        <w:t>，业绩值：</w:t>
      </w:r>
      <w:r>
        <w:rPr>
          <w:rFonts w:hint="eastAsia"/>
          <w:lang w:val="en-US" w:eastAsia="zh-CN"/>
        </w:rPr>
        <w:t>12.5</w:t>
      </w:r>
      <w:r>
        <w:rPr>
          <w:rFonts w:hint="eastAsia"/>
        </w:rPr>
        <w:t>);</w:t>
      </w:r>
      <w:r>
        <w:rPr>
          <w:rFonts w:hint="eastAsia"/>
          <w:lang w:val="en-US" w:eastAsia="zh-CN"/>
        </w:rPr>
        <w:t xml:space="preserve"> </w:t>
      </w:r>
      <w:r>
        <w:rPr>
          <w:rFonts w:hint="eastAsia"/>
        </w:rPr>
        <w:t>群众性文化活动数量提高(评价目标值：10%，业绩值：10%);</w:t>
      </w:r>
      <w:r>
        <w:rPr>
          <w:rFonts w:hint="eastAsia"/>
          <w:lang w:val="en-US" w:eastAsia="zh-CN"/>
        </w:rPr>
        <w:t xml:space="preserve"> </w:t>
      </w:r>
      <w:r>
        <w:rPr>
          <w:rFonts w:hint="eastAsia"/>
        </w:rPr>
        <w:t>群众文化获得感和幸福感提高(评价目标值：10%，业绩值：10%);</w:t>
      </w:r>
      <w:r>
        <w:rPr>
          <w:rFonts w:hint="eastAsia"/>
          <w:lang w:val="en-US" w:eastAsia="zh-CN"/>
        </w:rPr>
        <w:t xml:space="preserve"> </w:t>
      </w:r>
      <w:r>
        <w:rPr>
          <w:rFonts w:hint="eastAsia"/>
        </w:rPr>
        <w:t>创建文艺活动达标率(评价目标值：100%，业绩值：100%);文艺家的关注及好评率(评价目标值：</w:t>
      </w:r>
      <w:r>
        <w:rPr>
          <w:rFonts w:hint="eastAsia"/>
          <w:lang w:val="en-US" w:eastAsia="zh-CN"/>
        </w:rPr>
        <w:t>80</w:t>
      </w:r>
      <w:r>
        <w:rPr>
          <w:rFonts w:hint="eastAsia"/>
        </w:rPr>
        <w:t>%，业绩值：</w:t>
      </w:r>
      <w:r>
        <w:rPr>
          <w:rFonts w:hint="eastAsia"/>
          <w:lang w:val="en-US" w:eastAsia="zh-CN"/>
        </w:rPr>
        <w:t>80</w:t>
      </w:r>
      <w:r>
        <w:rPr>
          <w:rFonts w:hint="eastAsia"/>
        </w:rPr>
        <w:t>%);长效管理机制健全性(评价目标值：健全，业绩值：建立年度工作计划及长期工作规划;针对受益人建立畅通的投诉渠道和意见收集措施;各区县残联和市辅助中心能及时对项目中的问题进行反馈和处理);</w:t>
      </w:r>
      <w:r>
        <w:rPr>
          <w:rFonts w:hint="eastAsia"/>
          <w:lang w:val="en-US" w:eastAsia="zh-CN"/>
        </w:rPr>
        <w:t xml:space="preserve"> </w:t>
      </w:r>
      <w:r>
        <w:rPr>
          <w:rFonts w:hint="eastAsia"/>
        </w:rPr>
        <w:t>档案管理健全性(评价目标值：健全，业绩值：工作实施方案;项目委托协议;项目工作计划;项目开展记录;项目考核记录)</w:t>
      </w:r>
      <w:r>
        <w:rPr>
          <w:rFonts w:hint="eastAsia"/>
          <w:lang w:eastAsia="zh-CN"/>
        </w:rPr>
        <w:t>。</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eastAsia="黑体" w:cs="Times New Roman"/>
        </w:rPr>
      </w:pPr>
      <w:r>
        <w:rPr>
          <w:rFonts w:hint="default" w:ascii="Times New Roman" w:hAnsi="Times New Roman" w:eastAsia="黑体" w:cs="Times New Roman"/>
          <w:lang w:eastAsia="zh-CN"/>
        </w:rPr>
        <w:t>六、项目主要经验及做法</w:t>
      </w:r>
    </w:p>
    <w:p>
      <w:pPr>
        <w:widowControl w:val="0"/>
        <w:wordWrap/>
        <w:overflowPunct w:val="0"/>
        <w:spacing w:before="0" w:after="0" w:line="580" w:lineRule="exact"/>
        <w:ind w:left="640" w:leftChars="200" w:right="0"/>
        <w:textAlignment w:val="auto"/>
        <w:outlineLvl w:val="9"/>
        <w:rPr>
          <w:rFonts w:hint="default" w:ascii="Times New Roman" w:hAnsi="Times New Roman" w:eastAsia="楷体_GB2312" w:cs="Times New Roman"/>
          <w:b/>
          <w:bCs/>
        </w:rPr>
      </w:pPr>
      <w:r>
        <w:rPr>
          <w:rFonts w:hint="default" w:ascii="Times New Roman" w:hAnsi="Times New Roman" w:eastAsia="楷体_GB2312" w:cs="Times New Roman"/>
          <w:b/>
          <w:bCs/>
        </w:rPr>
        <w:t>（一）主要经验及做法</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lang w:val="zh-CN"/>
        </w:rPr>
      </w:pPr>
      <w:r>
        <w:rPr>
          <w:rFonts w:hint="default" w:ascii="Times New Roman" w:hAnsi="Times New Roman" w:eastAsia="楷体_GB2312" w:cs="Times New Roman"/>
          <w:b/>
          <w:bCs/>
          <w:lang w:val="zh-CN"/>
        </w:rPr>
        <w:t>一是强化认识，重视绩效价评工作。</w:t>
      </w:r>
      <w:r>
        <w:rPr>
          <w:rFonts w:hint="default" w:ascii="Times New Roman" w:hAnsi="Times New Roman" w:cs="Times New Roman"/>
          <w:lang w:val="zh-CN"/>
        </w:rPr>
        <w:t>财政支出绩效评价是单位提高行政效能和理财水平的重要举措，加强组织领导，总结自评工作经验，严格落实绩效管理责任，保质保量完成绩效自评工作任务。</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lang w:val="zh-CN"/>
        </w:rPr>
      </w:pPr>
      <w:r>
        <w:rPr>
          <w:rFonts w:hint="default" w:ascii="Times New Roman" w:hAnsi="Times New Roman" w:eastAsia="楷体_GB2312" w:cs="Times New Roman"/>
          <w:b/>
          <w:bCs/>
          <w:lang w:val="zh-CN"/>
        </w:rPr>
        <w:t>二是强化质量，规范绩效评价工作。</w:t>
      </w:r>
      <w:r>
        <w:rPr>
          <w:rFonts w:hint="default" w:ascii="Times New Roman" w:hAnsi="Times New Roman" w:cs="Times New Roman"/>
          <w:lang w:val="zh-CN"/>
        </w:rPr>
        <w:t>通过建立科学、可量化的指标体系，认真收集整理评价基础数据资料，按要求完成绩效评价报告，真实反映资金使用效果。</w:t>
      </w:r>
    </w:p>
    <w:p>
      <w:pPr>
        <w:widowControl w:val="0"/>
        <w:wordWrap/>
        <w:overflowPunct w:val="0"/>
        <w:spacing w:before="0" w:after="0" w:line="580" w:lineRule="exact"/>
        <w:ind w:right="0" w:firstLine="643" w:firstLineChars="200"/>
        <w:textAlignment w:val="auto"/>
        <w:outlineLvl w:val="9"/>
        <w:rPr>
          <w:rFonts w:hint="default" w:ascii="Times New Roman" w:hAnsi="Times New Roman" w:cs="Times New Roman"/>
          <w:lang w:val="zh-CN"/>
        </w:rPr>
      </w:pPr>
      <w:r>
        <w:rPr>
          <w:rFonts w:hint="default" w:ascii="Times New Roman" w:hAnsi="Times New Roman" w:eastAsia="楷体_GB2312" w:cs="Times New Roman"/>
          <w:b/>
          <w:bCs/>
          <w:lang w:val="zh-CN"/>
        </w:rPr>
        <w:t>三是强化落实，按时完成绩效自评工作。</w:t>
      </w:r>
      <w:r>
        <w:rPr>
          <w:rFonts w:hint="default" w:ascii="Times New Roman" w:hAnsi="Times New Roman" w:cs="Times New Roman"/>
          <w:lang w:val="zh-CN"/>
        </w:rPr>
        <w:t>在预算管理过程中，统筹安排好各个环节的工作，进一步加强财务和业务部门之间的参与协助力度，加强与各科室的沟通配合、培训和指导，按要求完成本部门绩效评价工作。</w:t>
      </w:r>
    </w:p>
    <w:p>
      <w:pPr>
        <w:widowControl w:val="0"/>
        <w:wordWrap/>
        <w:overflowPunct w:val="0"/>
        <w:spacing w:before="0" w:after="0" w:line="580" w:lineRule="exact"/>
        <w:ind w:left="640" w:leftChars="200" w:right="0"/>
        <w:textAlignment w:val="auto"/>
        <w:outlineLvl w:val="9"/>
        <w:rPr>
          <w:rFonts w:hint="default" w:ascii="Times New Roman" w:hAnsi="Times New Roman" w:eastAsia="黑体" w:cs="Times New Roman"/>
          <w:b w:val="0"/>
          <w:bCs w:val="0"/>
        </w:rPr>
      </w:pPr>
      <w:r>
        <w:rPr>
          <w:rFonts w:hint="default" w:ascii="Times New Roman" w:hAnsi="Times New Roman" w:eastAsia="黑体" w:cs="Times New Roman"/>
          <w:b w:val="0"/>
          <w:bCs w:val="0"/>
          <w:lang w:eastAsia="zh-CN"/>
        </w:rPr>
        <w:t>七、</w:t>
      </w:r>
      <w:r>
        <w:rPr>
          <w:rFonts w:hint="default" w:ascii="Times New Roman" w:hAnsi="Times New Roman" w:eastAsia="黑体" w:cs="Times New Roman"/>
          <w:b w:val="0"/>
          <w:bCs w:val="0"/>
        </w:rPr>
        <w:t>存在的问题</w:t>
      </w:r>
      <w:r>
        <w:rPr>
          <w:rFonts w:hint="default" w:ascii="Times New Roman" w:hAnsi="Times New Roman" w:eastAsia="黑体" w:cs="Times New Roman"/>
          <w:b w:val="0"/>
          <w:bCs w:val="0"/>
          <w:lang w:eastAsia="zh-CN"/>
        </w:rPr>
        <w:t>及原因分析</w:t>
      </w:r>
    </w:p>
    <w:p>
      <w:pPr>
        <w:widowControl w:val="0"/>
        <w:wordWrap/>
        <w:spacing w:before="0" w:after="0" w:line="580" w:lineRule="exact"/>
        <w:ind w:right="0" w:firstLine="640" w:firstLineChars="200"/>
        <w:textAlignment w:val="auto"/>
        <w:outlineLvl w:val="9"/>
        <w:rPr>
          <w:rFonts w:hint="default" w:ascii="Times New Roman" w:hAnsi="Times New Roman" w:cs="Times New Roman"/>
        </w:rPr>
      </w:pPr>
      <w:r>
        <w:rPr>
          <w:rFonts w:hint="default" w:ascii="Times New Roman" w:hAnsi="Times New Roman" w:cs="Times New Roman"/>
        </w:rPr>
        <w:t>组织文艺家开展文艺创作、交流、研讨、展示、培训是文联业务工作的重要部分。目前，市文联每年组织开展文艺创作研讨、对外文艺交流、文艺业务培训、大型节庆展览、各类文艺赛事约</w:t>
      </w:r>
      <w:r>
        <w:rPr>
          <w:rFonts w:hint="default" w:ascii="Times New Roman" w:hAnsi="Times New Roman" w:cs="Times New Roman"/>
          <w:lang w:val="en-US" w:eastAsia="zh-CN"/>
        </w:rPr>
        <w:t>30</w:t>
      </w:r>
      <w:r>
        <w:rPr>
          <w:rFonts w:hint="default" w:ascii="Times New Roman" w:hAnsi="Times New Roman" w:cs="Times New Roman"/>
        </w:rPr>
        <w:t>多次，这些活动的开展对推动我市文艺事业发展，促进天水文化大市建设起到了重要的作用。但是，市文联在组织开展各类活动时没有专门的场馆，经常是借用和租赁各类非专业场地，不仅产生了较高的租赁费用，也严重制约了活动的开展，严重影响了文艺展览赛事活动的规模、效果和影响</w:t>
      </w:r>
      <w:r>
        <w:rPr>
          <w:rFonts w:hint="default" w:ascii="Times New Roman" w:hAnsi="Times New Roman" w:cs="Times New Roman"/>
          <w:lang w:eastAsia="zh-CN"/>
        </w:rPr>
        <w:t>力</w:t>
      </w:r>
      <w:r>
        <w:rPr>
          <w:rFonts w:hint="default" w:ascii="Times New Roman" w:hAnsi="Times New Roman" w:cs="Times New Roman"/>
        </w:rPr>
        <w:t>。</w:t>
      </w:r>
    </w:p>
    <w:p>
      <w:pPr>
        <w:widowControl w:val="0"/>
        <w:wordWrap/>
        <w:overflowPunct w:val="0"/>
        <w:spacing w:before="0" w:after="0" w:line="580" w:lineRule="exact"/>
        <w:ind w:left="640" w:leftChars="200" w:right="0"/>
        <w:textAlignment w:val="auto"/>
        <w:outlineLvl w:val="9"/>
        <w:rPr>
          <w:rFonts w:hint="default" w:ascii="Times New Roman" w:hAnsi="Times New Roman" w:eastAsia="黑体" w:cs="Times New Roman"/>
          <w:b w:val="0"/>
          <w:bCs w:val="0"/>
        </w:rPr>
      </w:pPr>
      <w:r>
        <w:rPr>
          <w:rFonts w:hint="default" w:ascii="Times New Roman" w:hAnsi="Times New Roman" w:eastAsia="黑体" w:cs="Times New Roman"/>
          <w:b w:val="0"/>
          <w:bCs w:val="0"/>
          <w:lang w:eastAsia="zh-CN"/>
        </w:rPr>
        <w:t>八、有关建议</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rPr>
      </w:pPr>
      <w:r>
        <w:rPr>
          <w:rFonts w:hint="default" w:ascii="Times New Roman" w:hAnsi="Times New Roman" w:cs="Times New Roman"/>
        </w:rPr>
        <w:t>市文联活动经费项目绩效管理工作还存在绩效目标申报不够全面，绩效指标量化不够完善，绩效评价手段和方法有待优化等问题，在今后的工作中还需要进一步加以改进和完善。</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eastAsia="黑体" w:cs="Times New Roman"/>
        </w:rPr>
      </w:pPr>
      <w:r>
        <w:rPr>
          <w:rFonts w:hint="default" w:ascii="Times New Roman" w:hAnsi="Times New Roman" w:eastAsia="黑体" w:cs="Times New Roman"/>
          <w:lang w:eastAsia="zh-CN"/>
        </w:rPr>
        <w:t>九</w:t>
      </w:r>
      <w:r>
        <w:rPr>
          <w:rFonts w:hint="default" w:ascii="Times New Roman" w:hAnsi="Times New Roman" w:eastAsia="黑体" w:cs="Times New Roman"/>
        </w:rPr>
        <w:t>、需要说明的问题</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rPr>
      </w:pPr>
      <w:r>
        <w:rPr>
          <w:rFonts w:hint="default" w:ascii="Times New Roman" w:hAnsi="Times New Roman" w:cs="Times New Roman"/>
        </w:rPr>
        <w:t>无。</w:t>
      </w: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lang w:eastAsia="zh-CN"/>
        </w:rPr>
      </w:pPr>
    </w:p>
    <w:p>
      <w:pPr>
        <w:widowControl w:val="0"/>
        <w:wordWrap/>
        <w:adjustRightInd w:val="0"/>
        <w:snapToGrid w:val="0"/>
        <w:spacing w:before="0" w:after="0" w:line="580" w:lineRule="exact"/>
        <w:ind w:right="0" w:firstLine="640" w:firstLineChars="200"/>
        <w:textAlignment w:val="auto"/>
        <w:outlineLvl w:val="9"/>
        <w:rPr>
          <w:rFonts w:hint="default" w:ascii="Times New Roman" w:hAnsi="Times New Roman" w:cs="Times New Roman"/>
          <w:lang w:eastAsia="zh-CN"/>
        </w:rPr>
      </w:pPr>
      <w:r>
        <w:rPr>
          <w:rFonts w:hint="default" w:ascii="Times New Roman" w:hAnsi="Times New Roman" w:cs="Times New Roman"/>
          <w:lang w:eastAsia="zh-CN"/>
        </w:rPr>
        <w:t>附件</w:t>
      </w:r>
      <w:r>
        <w:rPr>
          <w:rFonts w:hint="eastAsia" w:cs="Times New Roman"/>
          <w:lang w:eastAsia="zh-CN"/>
        </w:rPr>
        <w:t>：</w:t>
      </w:r>
      <w:r>
        <w:rPr>
          <w:rFonts w:hint="eastAsia" w:cs="Times New Roman"/>
          <w:lang w:val="en-US" w:eastAsia="zh-CN"/>
        </w:rPr>
        <w:t>1.</w:t>
      </w:r>
      <w:r>
        <w:rPr>
          <w:rFonts w:hint="default" w:ascii="Times New Roman" w:hAnsi="Times New Roman" w:cs="Times New Roman"/>
          <w:lang w:eastAsia="zh-CN"/>
        </w:rPr>
        <w:t>文联</w:t>
      </w:r>
      <w:r>
        <w:rPr>
          <w:rFonts w:hint="eastAsia" w:cs="Times New Roman"/>
          <w:lang w:eastAsia="zh-CN"/>
        </w:rPr>
        <w:t>活动专项经费</w:t>
      </w:r>
      <w:r>
        <w:rPr>
          <w:rFonts w:hint="default" w:ascii="Times New Roman" w:hAnsi="Times New Roman" w:cs="Times New Roman"/>
          <w:lang w:eastAsia="zh-CN"/>
        </w:rPr>
        <w:t>绩效评价评分表</w:t>
      </w:r>
    </w:p>
    <w:p>
      <w:pPr>
        <w:widowControl w:val="0"/>
        <w:wordWrap/>
        <w:adjustRightInd w:val="0"/>
        <w:snapToGrid w:val="0"/>
        <w:spacing w:before="0" w:after="0" w:line="580" w:lineRule="exact"/>
        <w:ind w:right="0"/>
        <w:textAlignment w:val="auto"/>
        <w:outlineLvl w:val="9"/>
        <w:rPr>
          <w:rFonts w:hint="eastAsia" w:cs="Times New Roman"/>
          <w:lang w:val="en-US" w:eastAsia="zh-CN"/>
        </w:rPr>
      </w:pPr>
      <w:r>
        <w:rPr>
          <w:rFonts w:hint="eastAsia" w:cs="Times New Roman"/>
          <w:lang w:val="en-US" w:eastAsia="zh-CN"/>
        </w:rPr>
        <w:t xml:space="preserve">          2.文联活动专项经费问题清单           </w:t>
      </w:r>
    </w:p>
    <w:p>
      <w:pPr>
        <w:widowControl w:val="0"/>
        <w:wordWrap/>
        <w:adjustRightInd w:val="0"/>
        <w:snapToGrid w:val="0"/>
        <w:spacing w:before="0" w:after="0" w:line="580" w:lineRule="exact"/>
        <w:ind w:right="0"/>
        <w:textAlignment w:val="auto"/>
        <w:outlineLvl w:val="9"/>
        <w:rPr>
          <w:rFonts w:hint="eastAsia" w:cs="Times New Roman"/>
          <w:lang w:val="en-US" w:eastAsia="zh-CN"/>
        </w:rPr>
      </w:pPr>
      <w:r>
        <w:rPr>
          <w:rFonts w:hint="eastAsia" w:cs="Times New Roman"/>
          <w:lang w:val="en-US" w:eastAsia="zh-CN"/>
        </w:rPr>
        <w:t xml:space="preserve"> </w:t>
      </w:r>
    </w:p>
    <w:p>
      <w:pPr>
        <w:widowControl w:val="0"/>
        <w:wordWrap/>
        <w:adjustRightInd w:val="0"/>
        <w:snapToGrid w:val="0"/>
        <w:spacing w:before="0" w:after="0" w:line="580" w:lineRule="exact"/>
        <w:ind w:right="0"/>
        <w:textAlignment w:val="auto"/>
        <w:outlineLvl w:val="9"/>
        <w:rPr>
          <w:rFonts w:hint="eastAsia" w:cs="Times New Roman"/>
          <w:lang w:val="en-US" w:eastAsia="zh-CN"/>
        </w:rPr>
      </w:pPr>
    </w:p>
    <w:p>
      <w:pPr>
        <w:widowControl w:val="0"/>
        <w:wordWrap/>
        <w:adjustRightInd w:val="0"/>
        <w:snapToGrid w:val="0"/>
        <w:spacing w:before="0" w:after="0" w:line="580" w:lineRule="exact"/>
        <w:ind w:right="0"/>
        <w:textAlignment w:val="auto"/>
        <w:outlineLvl w:val="9"/>
        <w:rPr>
          <w:rFonts w:hint="eastAsia" w:cs="Times New Roman"/>
          <w:lang w:val="en-US" w:eastAsia="zh-CN"/>
        </w:rPr>
      </w:pPr>
    </w:p>
    <w:p>
      <w:pPr>
        <w:widowControl w:val="0"/>
        <w:wordWrap/>
        <w:adjustRightInd w:val="0"/>
        <w:snapToGrid w:val="0"/>
        <w:spacing w:before="0" w:after="0" w:line="580" w:lineRule="exact"/>
        <w:ind w:right="0"/>
        <w:textAlignment w:val="auto"/>
        <w:outlineLvl w:val="9"/>
        <w:rPr>
          <w:rFonts w:hint="eastAsia" w:cs="Times New Roman"/>
          <w:lang w:val="en-US" w:eastAsia="zh-CN"/>
        </w:rPr>
      </w:pPr>
    </w:p>
    <w:p>
      <w:pPr>
        <w:widowControl w:val="0"/>
        <w:wordWrap/>
        <w:adjustRightInd w:val="0"/>
        <w:snapToGrid w:val="0"/>
        <w:spacing w:before="0" w:after="0" w:line="580" w:lineRule="exact"/>
        <w:ind w:right="0"/>
        <w:textAlignment w:val="auto"/>
        <w:outlineLvl w:val="9"/>
        <w:rPr>
          <w:rFonts w:hint="default" w:ascii="Times New Roman" w:hAnsi="Times New Roman" w:cs="Times New Roman"/>
          <w:lang w:eastAsia="zh-CN"/>
        </w:rPr>
      </w:pPr>
      <w:r>
        <w:rPr>
          <w:rFonts w:hint="eastAsia" w:cs="Times New Roman"/>
          <w:lang w:val="en-US" w:eastAsia="zh-CN"/>
        </w:rPr>
        <w:t xml:space="preserve">                        </w:t>
      </w:r>
      <w:r>
        <w:rPr>
          <w:rFonts w:hint="default" w:ascii="Times New Roman" w:hAnsi="Times New Roman" w:cs="Times New Roman"/>
          <w:lang w:eastAsia="zh-CN"/>
        </w:rPr>
        <w:t>天水市文学艺术界联合会</w:t>
      </w:r>
    </w:p>
    <w:p>
      <w:pPr>
        <w:widowControl w:val="0"/>
        <w:wordWrap/>
        <w:adjustRightInd w:val="0"/>
        <w:snapToGrid w:val="0"/>
        <w:spacing w:before="0" w:after="0" w:line="580" w:lineRule="exact"/>
        <w:ind w:left="0" w:leftChars="0" w:right="0" w:firstLine="4480" w:firstLineChars="1400"/>
        <w:textAlignment w:val="auto"/>
        <w:outlineLvl w:val="9"/>
        <w:sectPr>
          <w:footerReference r:id="rId6" w:type="default"/>
          <w:pgSz w:w="11906" w:h="16838"/>
          <w:pgMar w:top="1984" w:right="1531" w:bottom="1701" w:left="1531" w:header="851" w:footer="992" w:gutter="0"/>
          <w:pgNumType w:fmt="decimal" w:start="1"/>
          <w:cols w:space="720" w:num="1"/>
          <w:docGrid w:type="lines" w:linePitch="438" w:charSpace="0"/>
        </w:sectPr>
      </w:pPr>
      <w:r>
        <w:rPr>
          <w:rFonts w:hint="default" w:ascii="Times New Roman" w:hAnsi="Times New Roman" w:cs="Times New Roman"/>
          <w:lang w:val="en-US" w:eastAsia="zh-CN"/>
        </w:rPr>
        <w:t>202</w:t>
      </w:r>
      <w:r>
        <w:rPr>
          <w:rFonts w:hint="eastAsia" w:cs="Times New Roman"/>
          <w:lang w:val="en-US" w:eastAsia="zh-CN"/>
        </w:rPr>
        <w:t>3</w:t>
      </w:r>
      <w:r>
        <w:rPr>
          <w:rFonts w:hint="default" w:ascii="Times New Roman" w:hAnsi="Times New Roman" w:cs="Times New Roman"/>
          <w:lang w:val="en-US" w:eastAsia="zh-CN"/>
        </w:rPr>
        <w:t>年</w:t>
      </w:r>
      <w:r>
        <w:rPr>
          <w:rFonts w:hint="eastAsia" w:cs="Times New Roman"/>
          <w:lang w:val="en-US" w:eastAsia="zh-CN"/>
        </w:rPr>
        <w:t>8</w:t>
      </w:r>
      <w:r>
        <w:rPr>
          <w:rFonts w:hint="default" w:ascii="Times New Roman" w:hAnsi="Times New Roman" w:cs="Times New Roman"/>
          <w:lang w:val="en-US" w:eastAsia="zh-CN"/>
        </w:rPr>
        <w:t>月</w:t>
      </w:r>
      <w:r>
        <w:rPr>
          <w:rFonts w:hint="eastAsia" w:cs="Times New Roman"/>
          <w:lang w:val="en-US" w:eastAsia="zh-CN"/>
        </w:rPr>
        <w:t>2</w:t>
      </w:r>
      <w:r>
        <w:rPr>
          <w:rFonts w:hint="default" w:ascii="Times New Roman" w:hAnsi="Times New Roman" w:cs="Times New Roman"/>
          <w:lang w:val="en-US" w:eastAsia="zh-CN"/>
        </w:rPr>
        <w:t>日</w:t>
      </w:r>
    </w:p>
    <w:p>
      <w:pPr>
        <w:widowControl w:val="0"/>
        <w:wordWrap/>
        <w:adjustRightInd w:val="0"/>
        <w:snapToGrid w:val="0"/>
        <w:spacing w:before="0" w:after="0" w:line="240" w:lineRule="auto"/>
        <w:ind w:left="0" w:leftChars="0" w:right="0" w:firstLine="0" w:firstLineChars="0"/>
        <w:jc w:val="both"/>
        <w:textAlignment w:val="auto"/>
        <w:outlineLvl w:val="9"/>
        <w:rPr>
          <w:rFonts w:hint="eastAsia" w:ascii="仿宋_GB2312" w:hAnsi="仿宋_GB2312" w:eastAsia="仿宋_GB2312" w:cs="仿宋_GB2312"/>
          <w:lang w:val="en-US" w:eastAsia="zh-CN"/>
        </w:rPr>
      </w:pPr>
    </w:p>
    <w:p>
      <w:pPr>
        <w:widowControl w:val="0"/>
        <w:wordWrap/>
        <w:adjustRightInd w:val="0"/>
        <w:snapToGrid w:val="0"/>
        <w:spacing w:before="0" w:after="0" w:line="240" w:lineRule="auto"/>
        <w:ind w:left="0" w:leftChars="0" w:right="0" w:firstLine="0" w:firstLineChars="0"/>
        <w:jc w:val="both"/>
        <w:textAlignment w:val="auto"/>
        <w:outlineLvl w:val="9"/>
        <w:rPr>
          <w:rFonts w:hint="eastAsia" w:ascii="仿宋_GB2312" w:hAnsi="仿宋_GB2312" w:eastAsia="仿宋_GB2312" w:cs="仿宋_GB2312"/>
          <w:lang w:val="en-US" w:eastAsia="zh-CN"/>
        </w:rPr>
      </w:pPr>
    </w:p>
    <w:sectPr>
      <w:footerReference r:id="rId7" w:type="default"/>
      <w:pgSz w:w="16838" w:h="11906" w:orient="landscape"/>
      <w:pgMar w:top="1531" w:right="1984" w:bottom="1531" w:left="1701" w:header="851" w:footer="992" w:gutter="0"/>
      <w:pgNumType w:fmt="decimal"/>
      <w:cols w:space="72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楷体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-236855</wp:posOffset>
              </wp:positionV>
              <wp:extent cx="768350" cy="384810"/>
              <wp:effectExtent l="0" t="0" r="0" b="0"/>
              <wp:wrapNone/>
              <wp:docPr id="1" name="文本框 1"/>
              <wp:cNvGraphicFramePr/>
              <a:graphic xmlns:a="http://schemas.openxmlformats.org/drawingml/2006/main">
                <a:graphicData uri="http://schemas.microsoft.com/office/word/2010/wordprocessingShape">
                  <wps:wsp>
                    <wps:cNvSpPr/>
                    <wps:spPr>
                      <a:xfrm>
                        <a:off x="0" y="0"/>
                        <a:ext cx="768350" cy="384810"/>
                      </a:xfrm>
                      <a:prstGeom prst="rect">
                        <a:avLst/>
                      </a:prstGeom>
                      <a:noFill/>
                      <a:ln>
                        <a:noFill/>
                      </a:ln>
                    </wps:spPr>
                    <wps:txbx>
                      <w:txbxContent>
                        <w:p>
                          <w:pPr>
                            <w:pStyle w:val="3"/>
                            <w:rPr>
                              <w:rFonts w:ascii="宋体"/>
                              <w:sz w:val="28"/>
                              <w:szCs w:val="28"/>
                            </w:rPr>
                          </w:pPr>
                          <w:r>
                            <w:rPr>
                              <w:rFonts w:ascii="宋体" w:hAnsi="宋体" w:cs="宋体"/>
                              <w:sz w:val="28"/>
                              <w:szCs w:val="28"/>
                            </w:rPr>
                            <w:t>—</w:t>
                          </w:r>
                          <w:r>
                            <w:rPr>
                              <w:rFonts w:hint="eastAsia" w:ascii="宋体" w:hAnsi="宋体" w:cs="宋体"/>
                              <w:sz w:val="28"/>
                              <w:szCs w:val="28"/>
                              <w:lang w:val="en-US" w:eastAsia="zh-CN"/>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1</w:t>
                          </w:r>
                          <w:r>
                            <w:rPr>
                              <w:rFonts w:ascii="宋体" w:hAnsi="宋体" w:cs="宋体"/>
                              <w:sz w:val="28"/>
                              <w:szCs w:val="28"/>
                            </w:rPr>
                            <w:fldChar w:fldCharType="end"/>
                          </w:r>
                          <w:r>
                            <w:rPr>
                              <w:rFonts w:ascii="宋体" w:hAnsi="宋体" w:cs="宋体"/>
                              <w:sz w:val="28"/>
                              <w:szCs w:val="28"/>
                            </w:rPr>
                            <w:t xml:space="preserve"> —</w:t>
                          </w:r>
                        </w:p>
                      </w:txbxContent>
                    </wps:txbx>
                    <wps:bodyPr lIns="0" tIns="0" rIns="0" bIns="0" upright="1"/>
                  </wps:wsp>
                </a:graphicData>
              </a:graphic>
            </wp:anchor>
          </w:drawing>
        </mc:Choice>
        <mc:Fallback>
          <w:pict>
            <v:rect id="文本框 1" o:spid="_x0000_s1026" o:spt="1" style="position:absolute;left:0pt;margin-top:-18.65pt;height:30.3pt;width:60.5pt;mso-position-horizontal:outside;mso-position-horizontal-relative:margin;z-index:251659264;mso-width-relative:page;mso-height-relative:page;" filled="f" stroked="f" coordsize="21600,21600" o:gfxdata="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PmC63YAAAABwEAAA8AAAAAAAAAAQAgAAAAIgAAAGRycy9kb3ducmV2LnhtbFBLAQIUABQAAAAI&#10;AIdO4kAICWsttAEAAGcDAAAOAAAAAAAAAAEAIAAAACcBAABkcnMvZTJvRG9jLnhtbFBLBQYAAAAA&#10;BgAGAFkBAABNBQAAAAA=&#10;">
              <v:fill on="f" focussize="0,0"/>
              <v:stroke on="f"/>
              <v:imagedata o:title=""/>
              <o:lock v:ext="edit" aspectratio="f"/>
              <v:textbox inset="0mm,0mm,0mm,0mm">
                <w:txbxContent>
                  <w:p>
                    <w:pPr>
                      <w:pStyle w:val="3"/>
                      <w:rPr>
                        <w:rFonts w:ascii="宋体"/>
                        <w:sz w:val="28"/>
                        <w:szCs w:val="28"/>
                      </w:rPr>
                    </w:pPr>
                    <w:r>
                      <w:rPr>
                        <w:rFonts w:ascii="宋体" w:hAnsi="宋体" w:cs="宋体"/>
                        <w:sz w:val="28"/>
                        <w:szCs w:val="28"/>
                      </w:rPr>
                      <w:t>—</w:t>
                    </w:r>
                    <w:r>
                      <w:rPr>
                        <w:rFonts w:hint="eastAsia" w:ascii="宋体" w:hAnsi="宋体" w:cs="宋体"/>
                        <w:sz w:val="28"/>
                        <w:szCs w:val="28"/>
                        <w:lang w:val="en-US" w:eastAsia="zh-CN"/>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1</w:t>
                    </w:r>
                    <w:r>
                      <w:rPr>
                        <w:rFonts w:ascii="宋体" w:hAnsi="宋体" w:cs="宋体"/>
                        <w:sz w:val="28"/>
                        <w:szCs w:val="28"/>
                      </w:rPr>
                      <w:fldChar w:fldCharType="end"/>
                    </w:r>
                    <w:r>
                      <w:rPr>
                        <w:rFonts w:ascii="宋体" w:hAnsi="宋体" w:cs="宋体"/>
                        <w:sz w:val="28"/>
                        <w:szCs w:val="28"/>
                      </w:rPr>
                      <w:t xml:space="preserve"> —</w:t>
                    </w:r>
                  </w:p>
                </w:txbxContent>
              </v:textbox>
            </v:rect>
          </w:pict>
        </mc:Fallback>
      </mc:AlternateContent>
    </w:r>
    <w:r>
      <w:rPr>
        <w:kern w:val="0"/>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kern w:val="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2"/>
      <w:numFmt w:val="chineseCounting"/>
      <w:suff w:val="nothing"/>
      <w:lvlText w:val="（%1）"/>
      <w:lvlJc w:val="left"/>
    </w:lvl>
  </w:abstractNum>
  <w:abstractNum w:abstractNumId="1">
    <w:nsid w:val="0000000B"/>
    <w:multiLevelType w:val="singleLevel"/>
    <w:tmpl w:val="0000000B"/>
    <w:lvl w:ilvl="0" w:tentative="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21"/>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3NjUwY2E3YmIyZWJjOTVmMTM1Yzg1ZjlkYjJhMjgifQ=="/>
  </w:docVars>
  <w:rsids>
    <w:rsidRoot w:val="00000000"/>
    <w:rsid w:val="0A354056"/>
    <w:rsid w:val="6D253F48"/>
    <w:rsid w:val="6F526217"/>
    <w:rsid w:val="778B21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beforeAutospacing="0" w:after="260" w:afterAutospacing="0" w:line="413" w:lineRule="auto"/>
      <w:outlineLvl w:val="1"/>
    </w:pPr>
    <w:rPr>
      <w:rFonts w:ascii="Arial" w:hAnsi="Arial" w:eastAsia="黑体"/>
      <w:b/>
      <w:sz w:val="32"/>
    </w:rPr>
  </w:style>
  <w:style w:type="character" w:default="1" w:styleId="6">
    <w:name w:val="Default Paragraph Font"/>
    <w:link w:val="7"/>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link w:val="14"/>
    <w:qFormat/>
    <w:uiPriority w:val="0"/>
    <w:pPr>
      <w:tabs>
        <w:tab w:val="center" w:pos="4153"/>
        <w:tab w:val="right" w:pos="8306"/>
      </w:tabs>
      <w:snapToGrid w:val="0"/>
      <w:jc w:val="left"/>
    </w:pPr>
    <w:rPr>
      <w:rFonts w:eastAsia="仿宋_GB2312"/>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rFonts w:eastAsia="仿宋_GB2312"/>
      <w:sz w:val="18"/>
      <w:szCs w:val="18"/>
    </w:rPr>
  </w:style>
  <w:style w:type="paragraph" w:customStyle="1" w:styleId="7">
    <w:name w:val="Char Char Char1 Char"/>
    <w:basedOn w:val="1"/>
    <w:link w:val="6"/>
    <w:qFormat/>
    <w:uiPriority w:val="0"/>
  </w:style>
  <w:style w:type="character" w:styleId="8">
    <w:name w:val="FollowedHyperlink"/>
    <w:basedOn w:val="6"/>
    <w:qFormat/>
    <w:uiPriority w:val="0"/>
    <w:rPr>
      <w:color w:val="424242"/>
      <w:u w:val="none"/>
    </w:rPr>
  </w:style>
  <w:style w:type="character" w:styleId="9">
    <w:name w:val="Hyperlink"/>
    <w:basedOn w:val="6"/>
    <w:qFormat/>
    <w:uiPriority w:val="0"/>
    <w:rPr>
      <w:color w:val="424242"/>
      <w:u w:val="none"/>
    </w:rPr>
  </w:style>
  <w:style w:type="paragraph" w:customStyle="1" w:styleId="10">
    <w:name w:val="Normal (Web)"/>
    <w:basedOn w:val="1"/>
    <w:qFormat/>
    <w:uiPriority w:val="0"/>
    <w:rPr>
      <w:sz w:val="24"/>
    </w:rPr>
  </w:style>
  <w:style w:type="paragraph" w:customStyle="1" w:styleId="11">
    <w:name w:val="_Style 11"/>
    <w:basedOn w:val="1"/>
    <w:next w:val="1"/>
    <w:qFormat/>
    <w:uiPriority w:val="0"/>
    <w:pPr>
      <w:pBdr>
        <w:bottom w:val="single" w:color="auto" w:sz="6" w:space="1"/>
      </w:pBdr>
      <w:jc w:val="center"/>
    </w:pPr>
    <w:rPr>
      <w:rFonts w:ascii="Arial" w:eastAsia="宋体"/>
      <w:vanish/>
      <w:sz w:val="16"/>
    </w:rPr>
  </w:style>
  <w:style w:type="paragraph" w:customStyle="1" w:styleId="12">
    <w:name w:val="_Style 12"/>
    <w:basedOn w:val="1"/>
    <w:next w:val="1"/>
    <w:qFormat/>
    <w:uiPriority w:val="0"/>
    <w:pPr>
      <w:pBdr>
        <w:top w:val="single" w:color="auto" w:sz="6" w:space="1"/>
      </w:pBdr>
      <w:jc w:val="center"/>
    </w:pPr>
    <w:rPr>
      <w:rFonts w:ascii="Arial" w:eastAsia="宋体"/>
      <w:vanish/>
      <w:sz w:val="16"/>
    </w:rPr>
  </w:style>
  <w:style w:type="character" w:customStyle="1" w:styleId="13">
    <w:name w:val="page number"/>
    <w:basedOn w:val="6"/>
    <w:qFormat/>
    <w:uiPriority w:val="0"/>
  </w:style>
  <w:style w:type="character" w:customStyle="1" w:styleId="14">
    <w:name w:val="Footer Char"/>
    <w:basedOn w:val="6"/>
    <w:link w:val="3"/>
    <w:semiHidden/>
    <w:qFormat/>
    <w:uiPriority w:val="0"/>
    <w:rPr>
      <w:rFonts w:eastAsia="仿宋_GB2312"/>
      <w:sz w:val="18"/>
      <w:szCs w:val="18"/>
    </w:rPr>
  </w:style>
  <w:style w:type="character" w:customStyle="1" w:styleId="15">
    <w:name w:val="Header Char"/>
    <w:basedOn w:val="6"/>
    <w:link w:val="4"/>
    <w:semiHidden/>
    <w:qFormat/>
    <w:uiPriority w:val="0"/>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Kingsoft</Company>
  <Pages>9</Pages>
  <Words>734</Words>
  <Characters>4188</Characters>
  <Lines>0</Lines>
  <Paragraphs>0</Paragraphs>
  <TotalTime>15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lenovo</cp:lastModifiedBy>
  <cp:lastPrinted>2022-07-15T09:30:00Z</cp:lastPrinted>
  <dcterms:modified xsi:type="dcterms:W3CDTF">2023-08-23T07:45:31Z</dcterms:modified>
  <dc:title>蓝色的海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F2B6460E0F29465BBCB3BD2278AD7685_13</vt:lpwstr>
  </property>
</Properties>
</file>